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82B8" w14:textId="77777777" w:rsidR="00A4438B" w:rsidRDefault="00A4438B" w:rsidP="00A4438B">
      <w:pPr>
        <w:pStyle w:val="AKT"/>
      </w:pPr>
      <w:r>
        <w:t>UCHWAŁA NR ..................</w:t>
      </w:r>
    </w:p>
    <w:p w14:paraId="1A168591" w14:textId="77777777" w:rsidR="00A4438B" w:rsidRDefault="00A4438B" w:rsidP="00A4438B">
      <w:pPr>
        <w:pStyle w:val="AKT"/>
      </w:pPr>
      <w:r>
        <w:t>RADY GMINY SIDRA</w:t>
      </w:r>
    </w:p>
    <w:p w14:paraId="6D0ED268" w14:textId="7F058650" w:rsidR="00A4438B" w:rsidRDefault="00A4438B" w:rsidP="00A4438B">
      <w:pPr>
        <w:pStyle w:val="AKT"/>
        <w:rPr>
          <w:rFonts w:ascii="Arial" w:hAnsi="Arial" w:cs="Arial"/>
        </w:rPr>
      </w:pPr>
      <w:r>
        <w:t>z dnia ............................... 202</w:t>
      </w:r>
      <w:r w:rsidR="00566276">
        <w:t>4</w:t>
      </w:r>
      <w:r>
        <w:t xml:space="preserve"> r.</w:t>
      </w:r>
    </w:p>
    <w:p w14:paraId="6CAACB9A" w14:textId="77777777" w:rsidR="00A4438B" w:rsidRDefault="00A4438B" w:rsidP="00A4438B">
      <w:pPr>
        <w:jc w:val="center"/>
        <w:rPr>
          <w:rFonts w:ascii="Arial" w:hAnsi="Arial" w:cs="Arial"/>
          <w:sz w:val="24"/>
        </w:rPr>
      </w:pPr>
    </w:p>
    <w:p w14:paraId="6F51BB78" w14:textId="77777777" w:rsidR="00A4438B" w:rsidRDefault="00A4438B" w:rsidP="00A4438B">
      <w:pPr>
        <w:pStyle w:val="wsprawie"/>
        <w:numPr>
          <w:ilvl w:val="2"/>
          <w:numId w:val="3"/>
        </w:numPr>
        <w:spacing w:after="0"/>
      </w:pPr>
      <w:r>
        <w:t xml:space="preserve">w sprawie miejscowego planu zagospodarowania przestrzennego </w:t>
      </w:r>
    </w:p>
    <w:p w14:paraId="2D91D36B" w14:textId="77777777" w:rsidR="00A4438B" w:rsidRDefault="00A4438B" w:rsidP="00A4438B">
      <w:pPr>
        <w:pStyle w:val="wsprawie"/>
        <w:numPr>
          <w:ilvl w:val="2"/>
          <w:numId w:val="3"/>
        </w:numPr>
        <w:spacing w:after="0"/>
      </w:pPr>
      <w:r>
        <w:t>części obszaru wsi Racewo w gminie Sidra</w:t>
      </w:r>
    </w:p>
    <w:p w14:paraId="4E688E35" w14:textId="77777777" w:rsidR="00A4438B" w:rsidRDefault="00A4438B" w:rsidP="00A4438B">
      <w:pPr>
        <w:pStyle w:val="wsprawie"/>
        <w:numPr>
          <w:ilvl w:val="2"/>
          <w:numId w:val="3"/>
        </w:numPr>
        <w:spacing w:after="0"/>
      </w:pPr>
    </w:p>
    <w:p w14:paraId="1C245508" w14:textId="77777777" w:rsidR="00A4438B" w:rsidRPr="004B121B" w:rsidRDefault="00A4438B" w:rsidP="00A4438B">
      <w:pPr>
        <w:pStyle w:val="podstawaZnak"/>
        <w:numPr>
          <w:ilvl w:val="2"/>
          <w:numId w:val="3"/>
        </w:numPr>
      </w:pPr>
      <w:r w:rsidRPr="004B121B">
        <w:t>Na podstawie art. 18 ust. 2 pkt. 5 ustawy z dnia 8 marca 1990 r. o samorządzie gminnym</w:t>
      </w:r>
      <w:r w:rsidRPr="004B121B">
        <w:rPr>
          <w:szCs w:val="24"/>
        </w:rPr>
        <w:t xml:space="preserve"> (</w:t>
      </w:r>
      <w:r>
        <w:t>Dz. U. z 2023 r. poz. 40, 572</w:t>
      </w:r>
      <w:r w:rsidR="004041D8">
        <w:t>,</w:t>
      </w:r>
      <w:r w:rsidR="005A62DC">
        <w:t xml:space="preserve"> 146</w:t>
      </w:r>
      <w:r w:rsidR="004041D8">
        <w:t>3</w:t>
      </w:r>
      <w:r w:rsidR="00F051DA">
        <w:t>, 1688</w:t>
      </w:r>
      <w:r w:rsidRPr="004B121B">
        <w:rPr>
          <w:szCs w:val="24"/>
        </w:rPr>
        <w:t>)</w:t>
      </w:r>
      <w:r w:rsidRPr="004B121B">
        <w:t xml:space="preserve"> oraz art. 20 ust. 1 ustawy z dnia 27 marca 2003 r. o planowaniu i zagospodarowaniu przestrzennym </w:t>
      </w:r>
      <w:r w:rsidRPr="004B121B">
        <w:rPr>
          <w:szCs w:val="24"/>
        </w:rPr>
        <w:t>(</w:t>
      </w:r>
      <w:r>
        <w:t>Dz. U. z 2023 r. poz. 977</w:t>
      </w:r>
      <w:r w:rsidR="00FB4FF8">
        <w:t>, 1506, 1597</w:t>
      </w:r>
      <w:r w:rsidR="00C461FD">
        <w:t>, 1688</w:t>
      </w:r>
      <w:r w:rsidR="00F051DA">
        <w:t>, 1890, 2029</w:t>
      </w:r>
      <w:r w:rsidR="000F5A42">
        <w:t>, 2739</w:t>
      </w:r>
      <w:r w:rsidRPr="004B121B">
        <w:rPr>
          <w:szCs w:val="24"/>
        </w:rPr>
        <w:t>)</w:t>
      </w:r>
      <w:r w:rsidR="00B630DB">
        <w:rPr>
          <w:szCs w:val="24"/>
        </w:rPr>
        <w:t xml:space="preserve">, </w:t>
      </w:r>
      <w:r w:rsidR="00B630DB" w:rsidRPr="00CE7A37">
        <w:rPr>
          <w:szCs w:val="24"/>
        </w:rPr>
        <w:t>w związku z art. 65 ust. 1 i art. 67 ust.3 ustawy z dnia 7 lipca 2023 r. o zmianie ustawy o planowaniu i zagospodarowaniu przestrzennym oraz niektórych innych ustaw (Dz. U. z 2023 r. poz. 1688)</w:t>
      </w:r>
      <w:r w:rsidRPr="004B121B">
        <w:rPr>
          <w:szCs w:val="24"/>
        </w:rPr>
        <w:t xml:space="preserve">, </w:t>
      </w:r>
      <w:r>
        <w:rPr>
          <w:szCs w:val="24"/>
        </w:rPr>
        <w:t>realizując uchwałę Nr</w:t>
      </w:r>
      <w:r>
        <w:t xml:space="preserve"> </w:t>
      </w:r>
      <w:r>
        <w:rPr>
          <w:bCs/>
        </w:rPr>
        <w:t xml:space="preserve">XXX/215/23 </w:t>
      </w:r>
      <w:r w:rsidRPr="004B121B">
        <w:rPr>
          <w:szCs w:val="24"/>
        </w:rPr>
        <w:t xml:space="preserve">Rady Gminy </w:t>
      </w:r>
      <w:r>
        <w:rPr>
          <w:szCs w:val="24"/>
        </w:rPr>
        <w:t>Sidra</w:t>
      </w:r>
      <w:r w:rsidRPr="00FE50E4">
        <w:rPr>
          <w:bCs/>
        </w:rPr>
        <w:t xml:space="preserve"> z dnia </w:t>
      </w:r>
      <w:r>
        <w:rPr>
          <w:bCs/>
        </w:rPr>
        <w:t>13 marca 2023 r.</w:t>
      </w:r>
      <w:r w:rsidRPr="004B121B">
        <w:rPr>
          <w:szCs w:val="24"/>
        </w:rPr>
        <w:t xml:space="preserve"> uchwala się, co następuje</w:t>
      </w:r>
      <w:r w:rsidRPr="004B121B">
        <w:t>:</w:t>
      </w:r>
    </w:p>
    <w:p w14:paraId="38DEDC36" w14:textId="77777777" w:rsidR="00A4438B" w:rsidRPr="002D47FF" w:rsidRDefault="00A4438B" w:rsidP="00A4438B">
      <w:pPr>
        <w:pStyle w:val="rozdziaZnak"/>
        <w:numPr>
          <w:ilvl w:val="7"/>
          <w:numId w:val="2"/>
        </w:numPr>
      </w:pPr>
      <w:r w:rsidRPr="002D47FF">
        <w:t>DZIAŁ I – POSTANOWIENIA OGÓLNE</w:t>
      </w:r>
    </w:p>
    <w:p w14:paraId="58B2E852" w14:textId="77777777" w:rsidR="00A4438B" w:rsidRPr="002D47FF" w:rsidRDefault="00A4438B" w:rsidP="00A4438B">
      <w:pPr>
        <w:pStyle w:val="paragraf"/>
        <w:ind w:left="0"/>
        <w:rPr>
          <w:szCs w:val="24"/>
        </w:rPr>
      </w:pPr>
      <w:r w:rsidRPr="002D47FF">
        <w:rPr>
          <w:rFonts w:eastAsia="Times New Roman"/>
        </w:rPr>
        <w:t xml:space="preserve"> </w:t>
      </w:r>
      <w:r w:rsidRPr="002D47FF">
        <w:t xml:space="preserve">Stwierdza się, że miejscowy plan zagospodarowania przestrzennego części obszaru wsi </w:t>
      </w:r>
      <w:r w:rsidR="006E4B32">
        <w:t>Racewo</w:t>
      </w:r>
      <w:r w:rsidRPr="002D47FF">
        <w:rPr>
          <w:bCs/>
        </w:rPr>
        <w:t xml:space="preserve"> w gminie </w:t>
      </w:r>
      <w:r w:rsidR="006E4B32">
        <w:rPr>
          <w:bCs/>
        </w:rPr>
        <w:t>Sidra</w:t>
      </w:r>
      <w:r w:rsidRPr="002D47FF">
        <w:rPr>
          <w:bCs/>
        </w:rPr>
        <w:t xml:space="preserve"> </w:t>
      </w:r>
      <w:r w:rsidRPr="002D47FF">
        <w:t xml:space="preserve">nie narusza ustaleń „Studium uwarunkowań i kierunków zagospodarowania przestrzennego gminy </w:t>
      </w:r>
      <w:r w:rsidR="006E4B32">
        <w:t>Sidra</w:t>
      </w:r>
      <w:r w:rsidRPr="002D47FF">
        <w:t xml:space="preserve">”, przyjętego </w:t>
      </w:r>
      <w:r w:rsidRPr="002D47FF">
        <w:rPr>
          <w:szCs w:val="24"/>
        </w:rPr>
        <w:t xml:space="preserve">uchwałą Nr </w:t>
      </w:r>
      <w:r w:rsidR="006E4B32">
        <w:rPr>
          <w:szCs w:val="24"/>
        </w:rPr>
        <w:t>XI/60</w:t>
      </w:r>
      <w:r>
        <w:rPr>
          <w:szCs w:val="24"/>
        </w:rPr>
        <w:t>/99</w:t>
      </w:r>
      <w:r w:rsidRPr="002D47FF">
        <w:rPr>
          <w:szCs w:val="24"/>
        </w:rPr>
        <w:t xml:space="preserve"> Rady Gminy </w:t>
      </w:r>
      <w:r w:rsidR="006E4B32">
        <w:rPr>
          <w:szCs w:val="24"/>
        </w:rPr>
        <w:t>Sidra z dnia 30 grudnia</w:t>
      </w:r>
      <w:r>
        <w:rPr>
          <w:szCs w:val="24"/>
        </w:rPr>
        <w:t xml:space="preserve"> 1999 r., zmienionego uchwałą</w:t>
      </w:r>
      <w:r w:rsidRPr="002D47FF">
        <w:rPr>
          <w:szCs w:val="24"/>
        </w:rPr>
        <w:t>: Nr XX</w:t>
      </w:r>
      <w:r w:rsidR="006E4B32">
        <w:rPr>
          <w:szCs w:val="24"/>
        </w:rPr>
        <w:t>VIII/190/22 Rady Gminy Sidra</w:t>
      </w:r>
      <w:r w:rsidRPr="002D47FF">
        <w:rPr>
          <w:szCs w:val="24"/>
        </w:rPr>
        <w:t xml:space="preserve"> z dnia </w:t>
      </w:r>
      <w:r w:rsidR="006E4B32">
        <w:rPr>
          <w:szCs w:val="24"/>
        </w:rPr>
        <w:t>30 listopada</w:t>
      </w:r>
      <w:r>
        <w:rPr>
          <w:szCs w:val="24"/>
        </w:rPr>
        <w:t xml:space="preserve"> 2022</w:t>
      </w:r>
      <w:r w:rsidRPr="002D47FF">
        <w:rPr>
          <w:szCs w:val="24"/>
        </w:rPr>
        <w:t xml:space="preserve"> r</w:t>
      </w:r>
      <w:r>
        <w:rPr>
          <w:szCs w:val="24"/>
        </w:rPr>
        <w:t>.</w:t>
      </w:r>
    </w:p>
    <w:p w14:paraId="6287706C" w14:textId="77777777" w:rsidR="00A4438B" w:rsidRPr="007B5F8A" w:rsidRDefault="00A4438B" w:rsidP="00A4438B">
      <w:pPr>
        <w:pStyle w:val="paragraf"/>
        <w:ind w:left="0"/>
        <w:rPr>
          <w:szCs w:val="24"/>
        </w:rPr>
      </w:pPr>
      <w:r>
        <w:rPr>
          <w:szCs w:val="24"/>
        </w:rPr>
        <w:t>1. U</w:t>
      </w:r>
      <w:r>
        <w:t xml:space="preserve">chwala się miejscowy plan zagospodarowania przestrzennego części obszaru wsi </w:t>
      </w:r>
      <w:r w:rsidR="006E4B32">
        <w:t>Racewo</w:t>
      </w:r>
      <w:r>
        <w:t xml:space="preserve"> w</w:t>
      </w:r>
      <w:r>
        <w:rPr>
          <w:bCs/>
        </w:rPr>
        <w:t xml:space="preserve"> gminie </w:t>
      </w:r>
      <w:r w:rsidR="006E4B32">
        <w:rPr>
          <w:bCs/>
        </w:rPr>
        <w:t>Sidra</w:t>
      </w:r>
      <w:r>
        <w:rPr>
          <w:bCs/>
        </w:rPr>
        <w:t xml:space="preserve"> </w:t>
      </w:r>
      <w:r>
        <w:t xml:space="preserve">składający się z ustaleń zawartych w niniejszej </w:t>
      </w:r>
      <w:r w:rsidRPr="00771613">
        <w:t xml:space="preserve">uchwale i rysunku planu w </w:t>
      </w:r>
      <w:r w:rsidRPr="007B5F8A">
        <w:t>skali 1: 2000 stanowiącego załącznik Nr 1 do niniejszej uchwały.</w:t>
      </w:r>
    </w:p>
    <w:p w14:paraId="00F0C8E3" w14:textId="77777777" w:rsidR="00A4438B" w:rsidRPr="00771613" w:rsidRDefault="00A4438B" w:rsidP="00A4438B">
      <w:pPr>
        <w:pStyle w:val="2ustZnak"/>
        <w:rPr>
          <w:szCs w:val="24"/>
        </w:rPr>
      </w:pPr>
      <w:r w:rsidRPr="007B5F8A">
        <w:rPr>
          <w:szCs w:val="24"/>
        </w:rPr>
        <w:t>2. Plan obejmuje obszar</w:t>
      </w:r>
      <w:r w:rsidR="006C6752" w:rsidRPr="006C6752">
        <w:rPr>
          <w:bCs/>
          <w:szCs w:val="24"/>
        </w:rPr>
        <w:t xml:space="preserve"> </w:t>
      </w:r>
      <w:r w:rsidR="006C6752" w:rsidRPr="007B5F8A">
        <w:rPr>
          <w:bCs/>
          <w:szCs w:val="24"/>
        </w:rPr>
        <w:t xml:space="preserve">położony </w:t>
      </w:r>
      <w:r w:rsidR="006C6752" w:rsidRPr="007B5F8A">
        <w:rPr>
          <w:szCs w:val="24"/>
        </w:rPr>
        <w:t>na południe od drogi powiatowej Nr 1261B o przebiegu: Sidra-Nowowola i na wschód od granicy z gminą Janów</w:t>
      </w:r>
      <w:r w:rsidR="006C6752">
        <w:rPr>
          <w:szCs w:val="24"/>
        </w:rPr>
        <w:t>,</w:t>
      </w:r>
      <w:r w:rsidRPr="007B5F8A">
        <w:rPr>
          <w:szCs w:val="24"/>
        </w:rPr>
        <w:t xml:space="preserve"> stanowiący </w:t>
      </w:r>
      <w:r w:rsidR="006C6752">
        <w:rPr>
          <w:bCs/>
          <w:szCs w:val="24"/>
        </w:rPr>
        <w:t>działki o numerach:</w:t>
      </w:r>
      <w:r w:rsidRPr="007B5F8A">
        <w:rPr>
          <w:rFonts w:ascii="Arial" w:hAnsi="Arial" w:cs="Arial"/>
          <w:bCs/>
          <w:szCs w:val="24"/>
        </w:rPr>
        <w:t xml:space="preserve"> </w:t>
      </w:r>
      <w:r w:rsidR="00E82466" w:rsidRPr="007B5F8A">
        <w:rPr>
          <w:bCs/>
          <w:szCs w:val="24"/>
        </w:rPr>
        <w:t xml:space="preserve">76/1, </w:t>
      </w:r>
      <w:r w:rsidR="007220D6" w:rsidRPr="007B5F8A">
        <w:rPr>
          <w:bCs/>
          <w:szCs w:val="24"/>
        </w:rPr>
        <w:t>77/1, 78/1, 78/4</w:t>
      </w:r>
      <w:r w:rsidR="00710E65" w:rsidRPr="007B5F8A">
        <w:rPr>
          <w:bCs/>
          <w:szCs w:val="24"/>
        </w:rPr>
        <w:t xml:space="preserve"> oraz część</w:t>
      </w:r>
      <w:r w:rsidR="0062646C" w:rsidRPr="007B5F8A">
        <w:rPr>
          <w:bCs/>
          <w:szCs w:val="24"/>
        </w:rPr>
        <w:t xml:space="preserve"> działki nr 78/5</w:t>
      </w:r>
      <w:r w:rsidR="006C6752">
        <w:rPr>
          <w:bCs/>
          <w:szCs w:val="24"/>
        </w:rPr>
        <w:t xml:space="preserve"> w obrębie geodezyjnym</w:t>
      </w:r>
      <w:r w:rsidRPr="007B5F8A">
        <w:rPr>
          <w:bCs/>
          <w:szCs w:val="24"/>
        </w:rPr>
        <w:t xml:space="preserve"> </w:t>
      </w:r>
      <w:r w:rsidR="006C6752">
        <w:t>Racewo gmina Sidra</w:t>
      </w:r>
      <w:r w:rsidR="006C6752">
        <w:rPr>
          <w:szCs w:val="24"/>
        </w:rPr>
        <w:t>, powiat sokólski.</w:t>
      </w:r>
    </w:p>
    <w:p w14:paraId="3057644A" w14:textId="77777777" w:rsidR="00A4438B" w:rsidRPr="00771613" w:rsidRDefault="00A4438B" w:rsidP="00A4438B">
      <w:pPr>
        <w:pStyle w:val="2ustZnak"/>
      </w:pPr>
      <w:r w:rsidRPr="00771613">
        <w:t>3. Integralną częścią niniejszej uchwały są:</w:t>
      </w:r>
    </w:p>
    <w:p w14:paraId="23AF2ABA" w14:textId="77777777" w:rsidR="00A4438B" w:rsidRPr="00771613" w:rsidRDefault="00A4438B" w:rsidP="00A4438B">
      <w:pPr>
        <w:pStyle w:val="pkt"/>
        <w:numPr>
          <w:ilvl w:val="0"/>
          <w:numId w:val="5"/>
        </w:numPr>
        <w:rPr>
          <w:rFonts w:eastAsia="Times New Roman"/>
        </w:rPr>
      </w:pPr>
      <w:r w:rsidRPr="00771613">
        <w:t xml:space="preserve">załącznik Nr 1, o którym mowa w art.1 ust.1 </w:t>
      </w:r>
    </w:p>
    <w:p w14:paraId="1206D742" w14:textId="77777777" w:rsidR="00A4438B" w:rsidRPr="00771613" w:rsidRDefault="00A4438B" w:rsidP="00A4438B">
      <w:pPr>
        <w:pStyle w:val="pkt"/>
        <w:numPr>
          <w:ilvl w:val="0"/>
          <w:numId w:val="5"/>
        </w:numPr>
        <w:rPr>
          <w:rFonts w:eastAsia="Times New Roman"/>
        </w:rPr>
      </w:pPr>
      <w:r w:rsidRPr="00771613">
        <w:t>załącznik Nr 2 – zawierający rozstrzygnięcie o sposobie rozpatrzenia uwag wniesionych do projektu planu;</w:t>
      </w:r>
    </w:p>
    <w:p w14:paraId="2B7CCB38" w14:textId="77777777" w:rsidR="00A4438B" w:rsidRPr="00771613" w:rsidRDefault="00A4438B" w:rsidP="00A4438B">
      <w:pPr>
        <w:pStyle w:val="pkt"/>
        <w:numPr>
          <w:ilvl w:val="0"/>
          <w:numId w:val="5"/>
        </w:numPr>
      </w:pPr>
      <w:r w:rsidRPr="00771613">
        <w:t>załącznik Nr 3 – określający sposób realizacji zapisanych w planie, inwestycji z zakresu infrastruktury technicznej, które należą do zadań własnych gminy oraz zasady ich finansowania;</w:t>
      </w:r>
    </w:p>
    <w:p w14:paraId="6D8CE311" w14:textId="77777777" w:rsidR="00A4438B" w:rsidRPr="00771613" w:rsidRDefault="00A4438B" w:rsidP="00A4438B">
      <w:pPr>
        <w:pStyle w:val="pkt"/>
        <w:numPr>
          <w:ilvl w:val="0"/>
          <w:numId w:val="5"/>
        </w:numPr>
      </w:pPr>
      <w:r w:rsidRPr="00771613">
        <w:t xml:space="preserve">załącznik nr 4 – dane przestrzenne tworzone do aktu, o </w:t>
      </w:r>
      <w:r w:rsidR="00013D07">
        <w:t>których mowa w art. 67a ust. 1</w:t>
      </w:r>
      <w:r w:rsidRPr="00771613">
        <w:t xml:space="preserve"> ustawy z dnia 27 marca 2003 r. o planowaniu i zagospodarowa</w:t>
      </w:r>
      <w:r w:rsidR="00710E65">
        <w:t>niu przestrzennym (Dz. U. z 2023 r. poz. 977</w:t>
      </w:r>
      <w:r w:rsidR="00C13B19">
        <w:t>, ze zm.</w:t>
      </w:r>
      <w:r w:rsidRPr="00771613">
        <w:t>).</w:t>
      </w:r>
    </w:p>
    <w:p w14:paraId="50F002D1" w14:textId="77777777" w:rsidR="00A4438B" w:rsidRPr="00771613" w:rsidRDefault="00A4438B" w:rsidP="00A4438B">
      <w:pPr>
        <w:pStyle w:val="paragraf"/>
        <w:ind w:left="0"/>
      </w:pPr>
      <w:r w:rsidRPr="00771613">
        <w:t>1 Ilekroć w przepisach niniejszej uchwały jest mowa bez bliższego określenia o:</w:t>
      </w:r>
    </w:p>
    <w:p w14:paraId="22A8E2EB" w14:textId="77777777" w:rsidR="00A4438B" w:rsidRPr="00771613" w:rsidRDefault="00A4438B" w:rsidP="00A4438B">
      <w:pPr>
        <w:pStyle w:val="pkt"/>
        <w:numPr>
          <w:ilvl w:val="0"/>
          <w:numId w:val="6"/>
        </w:numPr>
      </w:pPr>
      <w:r w:rsidRPr="00771613">
        <w:t>planie - należy przez to rozumieć plan, o którym mowa w § 1 uchwały, o ile z treści przepisu nie wynika inaczej;</w:t>
      </w:r>
    </w:p>
    <w:p w14:paraId="441626CA" w14:textId="77777777" w:rsidR="00A4438B" w:rsidRPr="00771613" w:rsidRDefault="00A4438B" w:rsidP="00A4438B">
      <w:pPr>
        <w:pStyle w:val="pkt"/>
        <w:numPr>
          <w:ilvl w:val="0"/>
          <w:numId w:val="6"/>
        </w:numPr>
      </w:pPr>
      <w:r w:rsidRPr="00771613">
        <w:t>uchwale - należy przez to rozumieć niniejsza uchwałę Rady Gminy, o ile z treści przepisu nie wynika inaczej;</w:t>
      </w:r>
    </w:p>
    <w:p w14:paraId="20DAEFEC" w14:textId="77777777" w:rsidR="00A4438B" w:rsidRDefault="00A4438B" w:rsidP="00A4438B">
      <w:pPr>
        <w:pStyle w:val="pkt"/>
        <w:numPr>
          <w:ilvl w:val="0"/>
          <w:numId w:val="6"/>
        </w:numPr>
      </w:pPr>
      <w:r>
        <w:lastRenderedPageBreak/>
        <w:t>rysunku planu - należy przez to rozumieć rysunek planu na mapie w s</w:t>
      </w:r>
      <w:r w:rsidR="005F40B8">
        <w:t>kali 1:2</w:t>
      </w:r>
      <w:r>
        <w:t xml:space="preserve">000 stanowiący załącznik Nr 1 do niniejszej uchwały; </w:t>
      </w:r>
    </w:p>
    <w:p w14:paraId="0A32F0BA" w14:textId="77777777" w:rsidR="00A4438B" w:rsidRDefault="00A4438B" w:rsidP="00A4438B">
      <w:pPr>
        <w:pStyle w:val="pkt"/>
        <w:numPr>
          <w:ilvl w:val="0"/>
          <w:numId w:val="6"/>
        </w:numPr>
      </w:pPr>
      <w:r w:rsidRPr="002D47FF">
        <w:t xml:space="preserve">liniach rozgraniczających – należy przez to rozumieć linie oddzielające tereny </w:t>
      </w:r>
      <w:r w:rsidRPr="002D47FF">
        <w:br/>
        <w:t xml:space="preserve">o różnych funkcjach lub różnych zasadach zagospodarowania; </w:t>
      </w:r>
    </w:p>
    <w:p w14:paraId="5F49C7B1" w14:textId="77777777" w:rsidR="00A4438B" w:rsidRDefault="00A4438B" w:rsidP="00A4438B">
      <w:pPr>
        <w:pStyle w:val="pkt"/>
        <w:numPr>
          <w:ilvl w:val="0"/>
          <w:numId w:val="6"/>
        </w:numPr>
      </w:pPr>
      <w:r>
        <w:t>terenie - należy przez to rozumieć obszar o określonym rodzaju przeznaczenia podstawowego opisanego w tekście planu oraz wyznaczony na rysunku planu liniami rozgraniczającymi;</w:t>
      </w:r>
    </w:p>
    <w:p w14:paraId="2C7EAD04" w14:textId="77777777" w:rsidR="00A4438B" w:rsidRPr="002D47FF" w:rsidRDefault="00A4438B" w:rsidP="00A4438B">
      <w:pPr>
        <w:pStyle w:val="pkt"/>
        <w:numPr>
          <w:ilvl w:val="0"/>
          <w:numId w:val="6"/>
        </w:numPr>
      </w:pPr>
      <w:r>
        <w:t>przeznaczeniu podstawowym - należy przez to rozumieć ustalony w planie sposób użytkowania terenów w obrębie obszaru wyznaczonego liniami rozgraniczającymi, któremu winny być podporządkowane inne sposoby użytkowania określone jako dopuszczalne;</w:t>
      </w:r>
    </w:p>
    <w:p w14:paraId="12C03285" w14:textId="77777777" w:rsidR="00A4438B" w:rsidRDefault="00A4438B" w:rsidP="00A4438B">
      <w:pPr>
        <w:pStyle w:val="pkt"/>
        <w:numPr>
          <w:ilvl w:val="0"/>
          <w:numId w:val="6"/>
        </w:numPr>
      </w:pPr>
      <w:r>
        <w:t>obiektach i urządzeniach towarzyszących – należy przez to rozumieć obiekty i urządzenia ściśle związane z prawidłowym funkcjonowaniem zabudowy na terenie określonym liniami rozgraniczającymi, a w szczególności przyłącza i lokalne urządzenia infrastruktury technicznej, jednokondygnacyjne obiekty socjalno- administracyjne nietrwale związane z gruntem, podjazdy, parkingi i obiekty małej architektury;</w:t>
      </w:r>
    </w:p>
    <w:p w14:paraId="725ED767" w14:textId="77777777" w:rsidR="00A4438B" w:rsidRDefault="00A4438B" w:rsidP="00A4438B">
      <w:pPr>
        <w:pStyle w:val="pkt"/>
        <w:numPr>
          <w:ilvl w:val="0"/>
          <w:numId w:val="6"/>
        </w:numPr>
      </w:pPr>
      <w:r>
        <w:t>tymczasowym użytkowaniu i zagospodarowaniu terenu - należy przez to rozumieć dopuszczenie możliwości określonego sposobu użytkowania i zagospodarowania terenu, do czasu jego wykorzystania zgodnie z pr</w:t>
      </w:r>
      <w:r w:rsidR="002E7729">
        <w:t>zeznaczeniem ustalonym w planie.</w:t>
      </w:r>
    </w:p>
    <w:p w14:paraId="3B7A885F" w14:textId="77777777" w:rsidR="00A4438B" w:rsidRDefault="00A4438B" w:rsidP="00A4438B">
      <w:pPr>
        <w:pStyle w:val="2ust"/>
      </w:pPr>
      <w:r>
        <w:t xml:space="preserve">2. W odniesieniu do innych określeń i pojęć użytych w uchwale, niewymienionych w ust. 1, należy stosować definicje zawarte w innych obowiązujących przepisach. </w:t>
      </w:r>
    </w:p>
    <w:p w14:paraId="66CE8B63" w14:textId="77777777" w:rsidR="00A4438B" w:rsidRDefault="00A4438B" w:rsidP="00A4438B">
      <w:pPr>
        <w:pStyle w:val="paragraf"/>
        <w:ind w:left="0"/>
      </w:pPr>
      <w:r>
        <w:t>1. Spośród oznaczeń graficznych na rysunku planu ustaleniami obowiązującymi są:</w:t>
      </w:r>
    </w:p>
    <w:p w14:paraId="1CC63DDE" w14:textId="77777777" w:rsidR="00A4438B" w:rsidRPr="00771613" w:rsidRDefault="00A4438B" w:rsidP="00A4438B">
      <w:pPr>
        <w:pStyle w:val="pkt"/>
        <w:numPr>
          <w:ilvl w:val="0"/>
          <w:numId w:val="7"/>
        </w:numPr>
      </w:pPr>
      <w:r w:rsidRPr="00771613">
        <w:t>granica obszaru objętego planem miejscowym;</w:t>
      </w:r>
    </w:p>
    <w:p w14:paraId="7C402C83" w14:textId="77777777" w:rsidR="00A4438B" w:rsidRPr="00771613" w:rsidRDefault="00A4438B" w:rsidP="00A4438B">
      <w:pPr>
        <w:pStyle w:val="pkt"/>
        <w:numPr>
          <w:ilvl w:val="0"/>
          <w:numId w:val="7"/>
        </w:numPr>
      </w:pPr>
      <w:r w:rsidRPr="00771613">
        <w:t>linie rozgraniczające tereny o różnym przeznaczeniu lub zasadach zagospodarowania;</w:t>
      </w:r>
    </w:p>
    <w:p w14:paraId="44F886A4" w14:textId="77777777" w:rsidR="00A4438B" w:rsidRPr="002D47FF" w:rsidRDefault="00A4438B" w:rsidP="00A4438B">
      <w:pPr>
        <w:pStyle w:val="pkt"/>
        <w:numPr>
          <w:ilvl w:val="0"/>
          <w:numId w:val="7"/>
        </w:numPr>
      </w:pPr>
      <w:r w:rsidRPr="002D47FF">
        <w:t>symbol terenu;</w:t>
      </w:r>
    </w:p>
    <w:p w14:paraId="0D520E88" w14:textId="77777777" w:rsidR="00A4438B" w:rsidRPr="002D47FF" w:rsidRDefault="00A4438B" w:rsidP="00A4438B">
      <w:pPr>
        <w:pStyle w:val="pkt"/>
        <w:numPr>
          <w:ilvl w:val="0"/>
          <w:numId w:val="7"/>
        </w:numPr>
      </w:pPr>
      <w:r>
        <w:t>linia zabudowy nieprzekraczalna.</w:t>
      </w:r>
    </w:p>
    <w:p w14:paraId="20043FCA" w14:textId="77777777" w:rsidR="00A4438B" w:rsidRDefault="00A4438B" w:rsidP="00A4438B">
      <w:pPr>
        <w:pStyle w:val="2ustZnak"/>
      </w:pPr>
      <w:r>
        <w:t>2. Pozostałe oznaczenia graficzne mają charakter informacyjny i postulatywny.</w:t>
      </w:r>
    </w:p>
    <w:p w14:paraId="5E0FEDB1" w14:textId="77777777" w:rsidR="00A4438B" w:rsidRDefault="00A4438B" w:rsidP="00A4438B">
      <w:pPr>
        <w:pStyle w:val="paragraf"/>
        <w:ind w:left="0"/>
      </w:pPr>
      <w:r>
        <w:t xml:space="preserve">Celem regulacji zawartych w planie jest ustalenie zasad zagospodarowania terenu powierzchniowej eksploatacji kruszywa. </w:t>
      </w:r>
    </w:p>
    <w:p w14:paraId="241E79D1" w14:textId="77777777" w:rsidR="00A4438B" w:rsidRDefault="00A4438B" w:rsidP="00A4438B">
      <w:pPr>
        <w:pStyle w:val="rozdziaZnak"/>
        <w:numPr>
          <w:ilvl w:val="7"/>
          <w:numId w:val="2"/>
        </w:numPr>
      </w:pPr>
      <w:r>
        <w:t>DZIAŁ II – USTALENIA PLANU</w:t>
      </w:r>
    </w:p>
    <w:p w14:paraId="40340A96" w14:textId="77777777" w:rsidR="00A4438B" w:rsidRDefault="00A4438B" w:rsidP="00A4438B">
      <w:pPr>
        <w:pStyle w:val="rozdziaZnak"/>
        <w:numPr>
          <w:ilvl w:val="7"/>
          <w:numId w:val="2"/>
        </w:numPr>
      </w:pPr>
      <w:r>
        <w:t>USTALENIA PLANU</w:t>
      </w:r>
    </w:p>
    <w:p w14:paraId="2786F728" w14:textId="77777777" w:rsidR="00A4438B" w:rsidRDefault="00A4438B" w:rsidP="00A4438B">
      <w:pPr>
        <w:pStyle w:val="rozdziaZnak"/>
        <w:numPr>
          <w:ilvl w:val="7"/>
          <w:numId w:val="2"/>
        </w:numPr>
      </w:pPr>
      <w:r>
        <w:t>Rozdział I</w:t>
      </w:r>
    </w:p>
    <w:p w14:paraId="7FC48B20" w14:textId="77777777" w:rsidR="00A4438B" w:rsidRDefault="00A4438B" w:rsidP="00A4438B">
      <w:pPr>
        <w:pStyle w:val="rozdziaZnak"/>
        <w:numPr>
          <w:ilvl w:val="7"/>
          <w:numId w:val="2"/>
        </w:numPr>
      </w:pPr>
      <w:r>
        <w:t>Przeznaczenie terenów, parametry i wskaźniki kształtowania zabudowy oraz zagospodarowania terenu, w tym linie zabudowy, gabaryty obiektów i wskaźniki intensywności zabudowy</w:t>
      </w:r>
    </w:p>
    <w:p w14:paraId="321A4369" w14:textId="77777777" w:rsidR="00A4438B" w:rsidRPr="00771613" w:rsidRDefault="00A4438B" w:rsidP="00A4438B">
      <w:pPr>
        <w:pStyle w:val="paragraf"/>
        <w:ind w:left="0"/>
      </w:pPr>
      <w:r>
        <w:t xml:space="preserve">1. Na terenie oznaczonym na rysunku planu symbolem </w:t>
      </w:r>
      <w:r w:rsidRPr="00D628C4">
        <w:rPr>
          <w:b/>
        </w:rPr>
        <w:t>G</w:t>
      </w:r>
      <w:r>
        <w:rPr>
          <w:b/>
        </w:rPr>
        <w:t xml:space="preserve"> </w:t>
      </w:r>
      <w:r w:rsidRPr="00771613">
        <w:t>jako przeznaczenie podstawowe</w:t>
      </w:r>
      <w:r>
        <w:t xml:space="preserve"> </w:t>
      </w:r>
      <w:r w:rsidRPr="00771613">
        <w:t xml:space="preserve">ustala się: </w:t>
      </w:r>
      <w:r w:rsidRPr="00771613">
        <w:rPr>
          <w:b/>
        </w:rPr>
        <w:t>teren górnictwa i wydobycia</w:t>
      </w:r>
      <w:r w:rsidRPr="00771613">
        <w:t>,</w:t>
      </w:r>
      <w:r w:rsidRPr="00771613">
        <w:rPr>
          <w:b/>
        </w:rPr>
        <w:t xml:space="preserve"> </w:t>
      </w:r>
      <w:r w:rsidRPr="00771613">
        <w:t>który przeznacza się pod powierzchniową eksploatację kruszywa wraz z urządzeniami towarzyszącymi i parkingami.</w:t>
      </w:r>
    </w:p>
    <w:p w14:paraId="3498E57E" w14:textId="77777777" w:rsidR="00A4438B" w:rsidRPr="00771613" w:rsidRDefault="00A4438B" w:rsidP="00A4438B">
      <w:pPr>
        <w:pStyle w:val="ustZnak"/>
      </w:pPr>
      <w:r w:rsidRPr="00771613">
        <w:t>2. Na terenie, o którym mowa w ust. 1 dopuszcza  się:</w:t>
      </w:r>
    </w:p>
    <w:p w14:paraId="68A8DE26" w14:textId="77777777" w:rsidR="00A4438B" w:rsidRPr="00771613" w:rsidRDefault="00A4438B" w:rsidP="00A4438B">
      <w:pPr>
        <w:pStyle w:val="ustZnak"/>
        <w:numPr>
          <w:ilvl w:val="0"/>
          <w:numId w:val="13"/>
        </w:numPr>
      </w:pPr>
      <w:r w:rsidRPr="00771613">
        <w:lastRenderedPageBreak/>
        <w:t>lokalizację obiektów budowlanych i urządzeń związanych z wydobyciem kopaliny;</w:t>
      </w:r>
    </w:p>
    <w:p w14:paraId="315F4DAB" w14:textId="77777777" w:rsidR="00A4438B" w:rsidRPr="00771613" w:rsidRDefault="00A4438B" w:rsidP="00A4438B">
      <w:pPr>
        <w:pStyle w:val="ustZnak"/>
        <w:numPr>
          <w:ilvl w:val="0"/>
          <w:numId w:val="13"/>
        </w:numPr>
      </w:pPr>
      <w:r w:rsidRPr="00771613">
        <w:t>realizację wewnętrznych dróg zakładowych (częściowo lub całkowicie umocnionych) i ciągów technologicznych;</w:t>
      </w:r>
    </w:p>
    <w:p w14:paraId="3033683F" w14:textId="77777777" w:rsidR="00A4438B" w:rsidRPr="00771613" w:rsidRDefault="00A4438B" w:rsidP="00A4438B">
      <w:pPr>
        <w:pStyle w:val="ustZnak"/>
        <w:numPr>
          <w:ilvl w:val="0"/>
          <w:numId w:val="13"/>
        </w:numPr>
      </w:pPr>
      <w:r w:rsidRPr="00771613">
        <w:t>lokalizację sieci infrastruktury technicznej nie związanej z podstawową funkcją terenu.</w:t>
      </w:r>
    </w:p>
    <w:p w14:paraId="3F330B88" w14:textId="77777777" w:rsidR="00A4438B" w:rsidRPr="00771613" w:rsidRDefault="00A4438B" w:rsidP="00A4438B">
      <w:pPr>
        <w:pStyle w:val="ustZnak"/>
      </w:pPr>
      <w:r w:rsidRPr="00771613">
        <w:t>3. Na terenie, o którym mowa w ust. 1, ustala się następujące warunki zabudowy i zagospodarowania:</w:t>
      </w:r>
    </w:p>
    <w:p w14:paraId="244E47A9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wydobycie kopaliny na warunkach określonych w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uzyskanej koncesji oraz przy zachowaniu wymagań przepisów szczególnych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zakresu geologii i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górnictwa,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zakresu ochrony środowiska,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zakresu gospodarki wodnej i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z zakresu ochrony gruntów rolnych i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leśnych;</w:t>
      </w:r>
    </w:p>
    <w:p w14:paraId="6A1FDD68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przy eksploatacji należy zachować bezpieczeństwo i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ochronę terenów sąsiednich, poprzez właściwe ukształtowanie skarp odkrywki i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tworzenie filarów ochronnych zgodnie z ustalonymi normami;</w:t>
      </w:r>
    </w:p>
    <w:p w14:paraId="637DD5C4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obowiązek demontażu obiektów i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urządzeń, o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których mowa w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§ 6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ust. 2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pkt 1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równocześnie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podjęciem prac rekultywacyjnych;</w:t>
      </w:r>
    </w:p>
    <w:p w14:paraId="6D7EAB20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należy pozostawić pasy ochronne od wyrobiska zgodnie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przepisami szczególnymi;</w:t>
      </w:r>
    </w:p>
    <w:p w14:paraId="2F77CC2F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należy zachować pas zieleni izolacyjnej od strony dróg publicznych - o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szerokości min. 6m, zgodnie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zasadami określonymi w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przepisach szczególnych</w:t>
      </w:r>
      <w:r w:rsidRPr="00771613"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>;</w:t>
      </w:r>
    </w:p>
    <w:p w14:paraId="21E0EDBC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należy zachować pas ochronny od istniejącej linii elektroenergetycznej 15 kV napowietrznej: 5 m – przy przewodach izolowanych, 7 m – przy przewodach nieizolowanych;</w:t>
      </w:r>
    </w:p>
    <w:p w14:paraId="4D0D03C9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realizację sieci infrastruktury technicznej, o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której mowa w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§ 6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ust. 2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pkt 3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w sposób nie kolidujący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eksploatacją;</w:t>
      </w:r>
    </w:p>
    <w:p w14:paraId="07572298" w14:textId="77777777" w:rsidR="00A4438B" w:rsidRPr="00771613" w:rsidRDefault="00A4438B" w:rsidP="00A4438B">
      <w:pPr>
        <w:pStyle w:val="ustZnak"/>
        <w:numPr>
          <w:ilvl w:val="0"/>
          <w:numId w:val="14"/>
        </w:numPr>
        <w:rPr>
          <w:szCs w:val="24"/>
        </w:rPr>
      </w:pPr>
      <w:r w:rsidRPr="00771613">
        <w:rPr>
          <w:szCs w:val="24"/>
          <w:bdr w:val="none" w:sz="0" w:space="0" w:color="auto" w:frame="1"/>
          <w:shd w:val="clear" w:color="auto" w:fill="FFFFFF"/>
        </w:rPr>
        <w:t>zdejmowany sukcesywnie nadkład należy gromadzić na tymczasowych zwałowiskach, natomiast podczas eksploatacji i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rekultywacji w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odniesieniu do przemieszczanych mas ziemnych będzie prowadzona gospodarka bezodpadowa; nakład w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całości zostanie wykorzystany do rekultywacji terenu poeksploatacyjnego, zgodnie z</w:t>
      </w:r>
      <w:r w:rsidRPr="00771613">
        <w:rPr>
          <w:szCs w:val="24"/>
          <w:shd w:val="clear" w:color="auto" w:fill="FFFFFF"/>
        </w:rPr>
        <w:t> </w:t>
      </w:r>
      <w:r w:rsidRPr="00771613">
        <w:rPr>
          <w:szCs w:val="24"/>
          <w:bdr w:val="none" w:sz="0" w:space="0" w:color="auto" w:frame="1"/>
          <w:shd w:val="clear" w:color="auto" w:fill="FFFFFF"/>
        </w:rPr>
        <w:t>programem rekultywacji terenu</w:t>
      </w:r>
      <w:r w:rsidRPr="00771613">
        <w:rPr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  <w:t>;</w:t>
      </w:r>
    </w:p>
    <w:p w14:paraId="34D6DC43" w14:textId="77777777" w:rsidR="00A4438B" w:rsidRPr="00661B82" w:rsidRDefault="00A4438B" w:rsidP="00A4438B">
      <w:pPr>
        <w:pStyle w:val="ustZnak"/>
        <w:numPr>
          <w:ilvl w:val="0"/>
          <w:numId w:val="14"/>
        </w:numPr>
      </w:pPr>
      <w:r w:rsidRPr="00771613">
        <w:t>zabudowę, o której mowa w ust. 2 pkt 1, przewiduje się jako zabudowę tymczasową</w:t>
      </w:r>
      <w:r>
        <w:t xml:space="preserve"> – do użytkowania w okresie eksploatacji złoża – wskaźnik zagospodarowania terenu 9-10% (zabudowa zaplecza administracyjno-socjalnego w formie kontenerowej konstrukcji, o wysokości do jednej kondygnacji nadziemnej, zabudowa zaplecza </w:t>
      </w:r>
      <w:r w:rsidRPr="00661B82">
        <w:t>technicznego w zależności od potrzeb technologicznych);</w:t>
      </w:r>
      <w:r w:rsidR="00AC2FC4" w:rsidRPr="00661B82">
        <w:t xml:space="preserve"> </w:t>
      </w:r>
    </w:p>
    <w:p w14:paraId="31CCD546" w14:textId="77777777" w:rsidR="00A4438B" w:rsidRPr="00086E2C" w:rsidRDefault="00A4438B" w:rsidP="00A4438B">
      <w:pPr>
        <w:pStyle w:val="ustZnak"/>
        <w:numPr>
          <w:ilvl w:val="0"/>
          <w:numId w:val="14"/>
        </w:numPr>
      </w:pPr>
      <w:r w:rsidRPr="00661B82">
        <w:t>przewiduje się pas ochronny wokół granic terenu o szerokości</w:t>
      </w:r>
      <w:r w:rsidR="00AC2FC4" w:rsidRPr="00661B82">
        <w:t>:</w:t>
      </w:r>
      <w:r w:rsidRPr="00661B82">
        <w:t xml:space="preserve"> minimum 8,0 m od drogi powiatowej</w:t>
      </w:r>
      <w:r w:rsidR="00AC2FC4" w:rsidRPr="00661B82">
        <w:rPr>
          <w:szCs w:val="24"/>
        </w:rPr>
        <w:t xml:space="preserve"> Nr 1261B</w:t>
      </w:r>
      <w:r w:rsidRPr="00661B82">
        <w:t xml:space="preserve"> od północy, minimum 6,0 m od dzia</w:t>
      </w:r>
      <w:r w:rsidR="00AC2FC4" w:rsidRPr="00661B82">
        <w:t xml:space="preserve">łek sąsiednich na </w:t>
      </w:r>
      <w:r w:rsidR="00AC2FC4" w:rsidRPr="00086E2C">
        <w:t>wschód i południe</w:t>
      </w:r>
      <w:r w:rsidRPr="00086E2C">
        <w:t>;</w:t>
      </w:r>
    </w:p>
    <w:p w14:paraId="1A1EBD97" w14:textId="77777777" w:rsidR="00A4438B" w:rsidRPr="00086E2C" w:rsidRDefault="00A4438B" w:rsidP="00A4438B">
      <w:pPr>
        <w:pStyle w:val="ustZnak"/>
        <w:numPr>
          <w:ilvl w:val="0"/>
          <w:numId w:val="14"/>
        </w:numPr>
      </w:pPr>
      <w:r w:rsidRPr="00086E2C">
        <w:t>zabudowę dla potrzeb kopalni należy lokalizować od strony drogi powiatowej</w:t>
      </w:r>
      <w:r w:rsidR="0048001C" w:rsidRPr="00086E2C">
        <w:t xml:space="preserve"> </w:t>
      </w:r>
      <w:r w:rsidR="0048001C" w:rsidRPr="00086E2C">
        <w:rPr>
          <w:szCs w:val="24"/>
        </w:rPr>
        <w:t xml:space="preserve">Nr 1261B </w:t>
      </w:r>
      <w:r w:rsidRPr="00086E2C">
        <w:t xml:space="preserve"> z uwzględnieniem nieprzekraczalnej linii zabudowy określonej na rysunku planu;</w:t>
      </w:r>
    </w:p>
    <w:p w14:paraId="285C178F" w14:textId="77777777" w:rsidR="0048001C" w:rsidRPr="00086E2C" w:rsidRDefault="0048001C" w:rsidP="00A4438B">
      <w:pPr>
        <w:pStyle w:val="ustZnak"/>
        <w:numPr>
          <w:ilvl w:val="0"/>
          <w:numId w:val="14"/>
        </w:numPr>
      </w:pPr>
      <w:r w:rsidRPr="00086E2C">
        <w:rPr>
          <w:color w:val="222222"/>
          <w:shd w:val="clear" w:color="auto" w:fill="FFFFFF"/>
        </w:rPr>
        <w:t>wywóz kruszywa za pomocą transportu taśmowego poprzez przepust technologiczny pod drogą powiatową</w:t>
      </w:r>
      <w:r w:rsidR="006A0197" w:rsidRPr="00086E2C">
        <w:rPr>
          <w:szCs w:val="24"/>
        </w:rPr>
        <w:t xml:space="preserve"> Nr 1261B</w:t>
      </w:r>
      <w:r w:rsidR="00AE4273" w:rsidRPr="00086E2C">
        <w:rPr>
          <w:szCs w:val="24"/>
        </w:rPr>
        <w:t xml:space="preserve"> o szerokości ca 3 m</w:t>
      </w:r>
      <w:r w:rsidR="00EA4EDB" w:rsidRPr="00086E2C">
        <w:rPr>
          <w:color w:val="222222"/>
          <w:shd w:val="clear" w:color="auto" w:fill="FFFFFF"/>
        </w:rPr>
        <w:t xml:space="preserve"> (orientacyjna lokalizacja na </w:t>
      </w:r>
      <w:r w:rsidR="00EA4EDB" w:rsidRPr="00086E2C">
        <w:rPr>
          <w:color w:val="222222"/>
          <w:shd w:val="clear" w:color="auto" w:fill="FFFFFF"/>
        </w:rPr>
        <w:lastRenderedPageBreak/>
        <w:t>rysunku planu)</w:t>
      </w:r>
      <w:r w:rsidRPr="00086E2C">
        <w:rPr>
          <w:color w:val="222222"/>
          <w:shd w:val="clear" w:color="auto" w:fill="FFFFFF"/>
        </w:rPr>
        <w:t xml:space="preserve"> do istniejącego zakładu górniczego znajdującego się po północnej stronie drogi powiatowej </w:t>
      </w:r>
      <w:r w:rsidR="00EA4EDB" w:rsidRPr="00086E2C">
        <w:rPr>
          <w:color w:val="222222"/>
          <w:shd w:val="clear" w:color="auto" w:fill="FFFFFF"/>
        </w:rPr>
        <w:t>(</w:t>
      </w:r>
      <w:r w:rsidRPr="00086E2C">
        <w:rPr>
          <w:color w:val="222222"/>
          <w:shd w:val="clear" w:color="auto" w:fill="FFFFFF"/>
        </w:rPr>
        <w:t>poza obszarem objętym planem) lub transportem samochodowym;</w:t>
      </w:r>
    </w:p>
    <w:p w14:paraId="70008A49" w14:textId="77777777" w:rsidR="00A4438B" w:rsidRPr="00086E2C" w:rsidRDefault="00A4438B" w:rsidP="00A4438B">
      <w:pPr>
        <w:pStyle w:val="ustZnak"/>
        <w:numPr>
          <w:ilvl w:val="0"/>
          <w:numId w:val="14"/>
        </w:numPr>
      </w:pPr>
      <w:r w:rsidRPr="00086E2C">
        <w:t>teren pomiędzy linią rozgraniczającą drogi powiatowej, a nieprzekraczalną linią zabudowy należy przeznaczyć na ewentualne miejsca postojowe oraz zieleń ozdobną i izolacyjną;</w:t>
      </w:r>
    </w:p>
    <w:p w14:paraId="5FC5FB58" w14:textId="77777777" w:rsidR="00A4438B" w:rsidRDefault="00A4438B" w:rsidP="00A4438B">
      <w:pPr>
        <w:pStyle w:val="ustZnak"/>
        <w:numPr>
          <w:ilvl w:val="0"/>
          <w:numId w:val="14"/>
        </w:numPr>
      </w:pPr>
      <w:r w:rsidRPr="00086E2C">
        <w:t>pozostały teren pasa ochronnego należy zagospodarować wielostopniową, zwartą zielenią</w:t>
      </w:r>
      <w:r>
        <w:t xml:space="preserve"> izolacyjną;</w:t>
      </w:r>
    </w:p>
    <w:p w14:paraId="49483D4E" w14:textId="77777777" w:rsidR="00A4438B" w:rsidRDefault="00A4438B" w:rsidP="00A4438B">
      <w:pPr>
        <w:pStyle w:val="ustZnak"/>
        <w:numPr>
          <w:ilvl w:val="0"/>
          <w:numId w:val="14"/>
        </w:numPr>
      </w:pPr>
      <w:r>
        <w:t>w zagospodarowaniu terenu należy uwzględnić ograniczenia wynikające z przebiegu istniejącej napowietrznej linii elektroenergetycznej średniego napięcia;</w:t>
      </w:r>
    </w:p>
    <w:p w14:paraId="7364A71C" w14:textId="77777777" w:rsidR="00A4438B" w:rsidRDefault="00A4438B" w:rsidP="00A4438B">
      <w:pPr>
        <w:pStyle w:val="ustZnak"/>
        <w:numPr>
          <w:ilvl w:val="0"/>
          <w:numId w:val="14"/>
        </w:numPr>
      </w:pPr>
      <w:r>
        <w:t>w przypadku kolizji przebiegu linii z planowanym zagospodarowaniem należy ją przebudować na warunkach uzyskanych od właściciela linii.</w:t>
      </w:r>
    </w:p>
    <w:p w14:paraId="776BCBD7" w14:textId="77777777" w:rsidR="00A4438B" w:rsidRDefault="00A4438B" w:rsidP="00A4438B">
      <w:pPr>
        <w:pStyle w:val="ustZnak"/>
      </w:pPr>
      <w:r>
        <w:t>5. Eksploatację kopalin należy prowadzić zgodnie z projektem zagospodarowania złoża i planami ruchu kopalni sporządzonymi na podstawie przepisów odrębnych.</w:t>
      </w:r>
    </w:p>
    <w:p w14:paraId="7D77DBE1" w14:textId="77777777" w:rsidR="00A4438B" w:rsidRDefault="00A4438B" w:rsidP="00A4438B">
      <w:pPr>
        <w:pStyle w:val="ustZnak"/>
      </w:pPr>
      <w:r>
        <w:t>6. Projekt zagospodarowania złoża powinien zawierać wskazanie sposobu rekultywacji terenów. Zalecany kierunek rekultywacji: leśno-rekreacyjny.</w:t>
      </w:r>
    </w:p>
    <w:p w14:paraId="7A3B52C7" w14:textId="77777777" w:rsidR="00A4438B" w:rsidRDefault="00A4438B" w:rsidP="00A4438B">
      <w:pPr>
        <w:pStyle w:val="rozdziaZnak"/>
        <w:numPr>
          <w:ilvl w:val="7"/>
          <w:numId w:val="2"/>
        </w:numPr>
      </w:pPr>
      <w:r>
        <w:t>Rozdział II</w:t>
      </w:r>
    </w:p>
    <w:p w14:paraId="50E388DD" w14:textId="77777777" w:rsidR="00A4438B" w:rsidRDefault="00A4438B" w:rsidP="00A4438B">
      <w:pPr>
        <w:pStyle w:val="rozdziaZnak"/>
        <w:numPr>
          <w:ilvl w:val="7"/>
          <w:numId w:val="2"/>
        </w:numPr>
      </w:pPr>
      <w:r>
        <w:t>Zasady ochrony środowiska, przyrody i krajobrazu kulturowego</w:t>
      </w:r>
    </w:p>
    <w:p w14:paraId="440667C4" w14:textId="77777777" w:rsidR="00A4438B" w:rsidRPr="00D961C0" w:rsidRDefault="00A4438B" w:rsidP="00A4438B">
      <w:pPr>
        <w:pStyle w:val="paragraf"/>
        <w:ind w:left="0"/>
      </w:pPr>
      <w:r w:rsidRPr="00D961C0">
        <w:t>W zakresie zasad ochrony środowiska, przyrody i krajobrazu ustala się:</w:t>
      </w:r>
    </w:p>
    <w:p w14:paraId="44C7B01B" w14:textId="77777777" w:rsidR="00A4438B" w:rsidRDefault="00A4438B" w:rsidP="00A4438B">
      <w:pPr>
        <w:pStyle w:val="pkt"/>
        <w:numPr>
          <w:ilvl w:val="0"/>
          <w:numId w:val="0"/>
        </w:numPr>
        <w:ind w:left="1134" w:hanging="283"/>
      </w:pPr>
      <w:r>
        <w:t>1) utrzymanie istniejącego rolniczego wykorzystania terenu do czasu rozpoczęcia inwestycji;</w:t>
      </w:r>
    </w:p>
    <w:p w14:paraId="3BBBD6D9" w14:textId="77777777" w:rsidR="00A4438B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>2</w:t>
      </w:r>
      <w:r w:rsidRPr="002D47FF">
        <w:t>) zagospodarowanie zielenią urządzoną powierzchni wolnej od zabudowy i utwardzenia;</w:t>
      </w:r>
    </w:p>
    <w:p w14:paraId="302E10E9" w14:textId="77777777" w:rsidR="00A4438B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>3) zachowanie istniejących zadrzewień niekolidujących z zabudową i zagospodarowaniem terenu;</w:t>
      </w:r>
    </w:p>
    <w:p w14:paraId="724B7875" w14:textId="77777777" w:rsidR="00A4438B" w:rsidRPr="00CB749A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 xml:space="preserve">4)  nasadzenie wielostopniowej zieleni izolacyjnej w pasie ochronnym, o którym mowa </w:t>
      </w:r>
      <w:r w:rsidRPr="00CB749A">
        <w:t>w § 6 ust. 3 pkt 13;</w:t>
      </w:r>
    </w:p>
    <w:p w14:paraId="54591B16" w14:textId="77777777" w:rsidR="00A4438B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>5) sukcesywne prowadzenie rekultywacji obszaru górniczego na fragmentach terenu, gdzie eksploatacja została zakończona;</w:t>
      </w:r>
    </w:p>
    <w:p w14:paraId="7970FB1F" w14:textId="77777777" w:rsidR="00A4438B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>5) zagospodarowanie odpadów zgodnie z Wojewódzkim planem gospodarki odpadami oraz Regulaminem utrzymania czystości i porządku na terenie gminy Janów;</w:t>
      </w:r>
    </w:p>
    <w:p w14:paraId="7E5ED62F" w14:textId="77777777" w:rsidR="00A4438B" w:rsidRPr="00CB749A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>6</w:t>
      </w:r>
      <w:r w:rsidRPr="00251241">
        <w:t xml:space="preserve">)  prowadzenie gospodarki wodno-ściekowej zgodnie z zasadami </w:t>
      </w:r>
      <w:r w:rsidRPr="00CB749A">
        <w:t xml:space="preserve">określonymi w §15 pkt 1, 2 i 3; </w:t>
      </w:r>
    </w:p>
    <w:p w14:paraId="174BC815" w14:textId="77777777" w:rsidR="00A4438B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 xml:space="preserve">7) ochronę wód podziemnych poprzez oczyszczenie wód opadowych i ścieków wprowadzanych do gruntu w stopniu zgodnym z przepisami odrębnymi; </w:t>
      </w:r>
    </w:p>
    <w:p w14:paraId="51477C9C" w14:textId="77777777" w:rsidR="00A4438B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>8) ochronę akustyczną poprzez stosownie rozwiązań indywidualnych tłumiących hałas np. ściany zewnętrzne o podwyższonej izolacyjności akustycznej, odpowiednio dobrane i właściwie zamontowane maszyny i urządzenia;</w:t>
      </w:r>
    </w:p>
    <w:p w14:paraId="3E84423E" w14:textId="77777777" w:rsidR="00A4438B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>9</w:t>
      </w:r>
      <w:r w:rsidRPr="000E00E2">
        <w:t xml:space="preserve">) </w:t>
      </w:r>
      <w:r w:rsidRPr="000A13CC">
        <w:rPr>
          <w:szCs w:val="22"/>
        </w:rPr>
        <w:t>zakaz lokalizacji obiektów i urządzeń emitujących zanieczyszczenia do atmosfery w wielkościach ponad normowych</w:t>
      </w:r>
      <w:r w:rsidRPr="000A13CC">
        <w:rPr>
          <w:sz w:val="28"/>
        </w:rPr>
        <w:t>.</w:t>
      </w:r>
    </w:p>
    <w:p w14:paraId="72EE08A1" w14:textId="77777777" w:rsidR="00A4438B" w:rsidRDefault="00A4438B" w:rsidP="00A4438B">
      <w:pPr>
        <w:pStyle w:val="paragraf"/>
        <w:ind w:left="0"/>
      </w:pPr>
      <w:r>
        <w:lastRenderedPageBreak/>
        <w:t>W zakresie zasad kształtowania krajobrazu ustala się:</w:t>
      </w:r>
    </w:p>
    <w:p w14:paraId="30CE0CF6" w14:textId="77777777" w:rsidR="00A4438B" w:rsidRDefault="00A4438B" w:rsidP="00A4438B">
      <w:pPr>
        <w:pStyle w:val="pkt"/>
        <w:numPr>
          <w:ilvl w:val="0"/>
          <w:numId w:val="0"/>
        </w:numPr>
        <w:tabs>
          <w:tab w:val="clear" w:pos="4678"/>
          <w:tab w:val="left" w:pos="1153"/>
        </w:tabs>
        <w:suppressAutoHyphens w:val="0"/>
        <w:ind w:left="57"/>
      </w:pPr>
      <w:r>
        <w:t>zagospodarowanie terenu w sposób zachowujący jego naturalne ukształtowanie z dopuszczeniem przekształceń wyłącznie w celu zapewnienia odpowiedniego dojścia, dojazdu i nie oprowadzania wód opadowych na nieruchomości sąsiednie.</w:t>
      </w:r>
    </w:p>
    <w:p w14:paraId="6BD41899" w14:textId="77777777" w:rsidR="00A4438B" w:rsidRPr="006D1864" w:rsidRDefault="00A4438B" w:rsidP="00A4438B">
      <w:pPr>
        <w:pStyle w:val="rozdziaZnak"/>
        <w:numPr>
          <w:ilvl w:val="0"/>
          <w:numId w:val="0"/>
        </w:numPr>
        <w:ind w:left="851"/>
      </w:pPr>
      <w:r w:rsidRPr="006D1864">
        <w:t>Rozdział III</w:t>
      </w:r>
    </w:p>
    <w:p w14:paraId="42C0A09D" w14:textId="77777777" w:rsidR="00A4438B" w:rsidRPr="009A4440" w:rsidRDefault="00A4438B" w:rsidP="00A4438B">
      <w:pPr>
        <w:pStyle w:val="rozdziaZnak"/>
        <w:numPr>
          <w:ilvl w:val="0"/>
          <w:numId w:val="0"/>
        </w:numPr>
        <w:ind w:left="851"/>
      </w:pPr>
      <w:r w:rsidRPr="006D1864">
        <w:t>Zasady ochrony dziedzictwa kulturowego i zabytków oraz dóbr kultury współczesnej</w:t>
      </w:r>
    </w:p>
    <w:p w14:paraId="72DE8AC3" w14:textId="77777777" w:rsidR="00A4438B" w:rsidRDefault="00A4438B" w:rsidP="00A4438B">
      <w:pPr>
        <w:pStyle w:val="paragraf"/>
        <w:ind w:left="0"/>
      </w:pPr>
      <w:r>
        <w:rPr>
          <w:rFonts w:eastAsia="Times New Roman"/>
        </w:rPr>
        <w:t xml:space="preserve">1. </w:t>
      </w:r>
      <w:r>
        <w:t xml:space="preserve">W </w:t>
      </w:r>
      <w:r>
        <w:rPr>
          <w:rFonts w:cs="Verdana"/>
        </w:rPr>
        <w:t xml:space="preserve">granicach planu nie występują </w:t>
      </w:r>
      <w:r>
        <w:t>obiekty dziedzictwa kulturowego, zabytki, w tym krajobrazy kulturowe, ani dobra kultury współczesnej.</w:t>
      </w:r>
    </w:p>
    <w:p w14:paraId="5E7E51F9" w14:textId="77777777" w:rsidR="00A4438B" w:rsidRDefault="002F38C4" w:rsidP="002F38C4">
      <w:pPr>
        <w:pStyle w:val="ustZnak"/>
      </w:pPr>
      <w:r>
        <w:t>2</w:t>
      </w:r>
      <w:r w:rsidR="00A4438B">
        <w:t xml:space="preserve">. W przypadku odkrycia, podczas prowadzenia robót budowlanych lub ziemnych, przedmiotu, co do którego istnieje przypuszczenie, że jest on zabytkiem archeologicznym, należy zabezpieczyć przedmiot, oznakować miejsce znalezienia oraz niezwłocznie powiadomić Wojewódzkiego Konserwatora </w:t>
      </w:r>
      <w:r w:rsidR="009E6B2E">
        <w:t>Zabytków oraz Wójta Gminy Sidra.</w:t>
      </w:r>
      <w:r w:rsidR="00A4438B">
        <w:t xml:space="preserve"> </w:t>
      </w:r>
    </w:p>
    <w:p w14:paraId="2F1BB678" w14:textId="77777777" w:rsidR="00A4438B" w:rsidRDefault="00A4438B" w:rsidP="00A4438B">
      <w:pPr>
        <w:pStyle w:val="rozdziaZnak"/>
        <w:numPr>
          <w:ilvl w:val="0"/>
          <w:numId w:val="0"/>
        </w:numPr>
        <w:ind w:left="851"/>
      </w:pPr>
      <w:r>
        <w:t>Rozdział IV</w:t>
      </w:r>
    </w:p>
    <w:p w14:paraId="5533DA7B" w14:textId="77777777" w:rsidR="00A4438B" w:rsidRDefault="00A4438B" w:rsidP="00A4438B">
      <w:pPr>
        <w:pStyle w:val="rozdziaZnak"/>
        <w:numPr>
          <w:ilvl w:val="0"/>
          <w:numId w:val="0"/>
        </w:numPr>
        <w:ind w:left="851"/>
      </w:pPr>
      <w:r>
        <w:t>Wymagania wynikające z potrzeb kształtowania przestrzeni publicznych</w:t>
      </w:r>
    </w:p>
    <w:p w14:paraId="41518610" w14:textId="77777777" w:rsidR="00A4438B" w:rsidRDefault="00A4438B" w:rsidP="00A4438B">
      <w:pPr>
        <w:pStyle w:val="paragraf"/>
        <w:ind w:left="0"/>
      </w:pPr>
      <w:r>
        <w:t xml:space="preserve">W granicach planu nie występują przestrzenie publiczne. </w:t>
      </w:r>
    </w:p>
    <w:p w14:paraId="6F90E46F" w14:textId="77777777" w:rsidR="00A4438B" w:rsidRDefault="00A4438B" w:rsidP="00A4438B">
      <w:pPr>
        <w:pStyle w:val="paragraf"/>
        <w:ind w:left="0"/>
      </w:pPr>
      <w:r>
        <w:t>W wyniku eksploatacji kruszywa nie przewiduje się wytwarzania odpadów wymagających specjalnego zagospodarowania.</w:t>
      </w:r>
    </w:p>
    <w:p w14:paraId="24986140" w14:textId="77777777" w:rsidR="00A4438B" w:rsidRDefault="00A4438B" w:rsidP="00A4438B">
      <w:pPr>
        <w:pStyle w:val="rozdziaZnak"/>
        <w:numPr>
          <w:ilvl w:val="0"/>
          <w:numId w:val="0"/>
        </w:numPr>
        <w:ind w:left="851"/>
      </w:pPr>
      <w:r>
        <w:t>Rozdział V</w:t>
      </w:r>
    </w:p>
    <w:p w14:paraId="04D78F86" w14:textId="77777777" w:rsidR="00A4438B" w:rsidRDefault="00A4438B" w:rsidP="00A4438B">
      <w:pPr>
        <w:pStyle w:val="rozdziaZnak"/>
        <w:numPr>
          <w:ilvl w:val="0"/>
          <w:numId w:val="0"/>
        </w:numPr>
        <w:ind w:left="851"/>
      </w:pPr>
      <w:r>
        <w:t>Zasady i warunki scalania i podziału nieruchomości</w:t>
      </w:r>
    </w:p>
    <w:p w14:paraId="5CA9AECA" w14:textId="77777777" w:rsidR="00A4438B" w:rsidRDefault="00A4438B" w:rsidP="00A4438B">
      <w:pPr>
        <w:pStyle w:val="paragraf"/>
        <w:ind w:left="0"/>
        <w:rPr>
          <w:szCs w:val="24"/>
        </w:rPr>
      </w:pPr>
      <w:r>
        <w:t xml:space="preserve">W zakresie szczegółowych zasad i warunków podziału nieruchomości: </w:t>
      </w:r>
    </w:p>
    <w:p w14:paraId="74A3748A" w14:textId="77777777" w:rsidR="00A4438B" w:rsidRPr="00226C5C" w:rsidRDefault="00A4438B" w:rsidP="00A4438B">
      <w:pPr>
        <w:pStyle w:val="pkt"/>
        <w:numPr>
          <w:ilvl w:val="0"/>
          <w:numId w:val="8"/>
        </w:numPr>
        <w:tabs>
          <w:tab w:val="clear" w:pos="720"/>
          <w:tab w:val="num" w:pos="1134"/>
        </w:tabs>
        <w:ind w:left="1134" w:hanging="425"/>
      </w:pPr>
      <w:r w:rsidRPr="00226C5C">
        <w:t>ustala się funkcjonowanie terenu oznaczonego na rysunku planu symbolem G jako jednego terenu górniczego;</w:t>
      </w:r>
    </w:p>
    <w:p w14:paraId="3DBAC752" w14:textId="77777777" w:rsidR="00E322B2" w:rsidRDefault="00A4438B" w:rsidP="00E322B2">
      <w:pPr>
        <w:pStyle w:val="pkt"/>
        <w:numPr>
          <w:ilvl w:val="0"/>
          <w:numId w:val="8"/>
        </w:numPr>
        <w:tabs>
          <w:tab w:val="clear" w:pos="720"/>
          <w:tab w:val="num" w:pos="1134"/>
        </w:tabs>
        <w:ind w:left="1134" w:hanging="425"/>
      </w:pPr>
      <w:r>
        <w:rPr>
          <w:szCs w:val="24"/>
        </w:rPr>
        <w:t>na obszarze objętym planem nie wyznacza się terenów do objęcia procedurą scalenia i podziału nieruchomości;</w:t>
      </w:r>
      <w:r>
        <w:t xml:space="preserve"> </w:t>
      </w:r>
    </w:p>
    <w:p w14:paraId="417D71ED" w14:textId="77777777" w:rsidR="00A4438B" w:rsidRDefault="00A4438B" w:rsidP="00E322B2">
      <w:pPr>
        <w:pStyle w:val="pkt"/>
        <w:numPr>
          <w:ilvl w:val="0"/>
          <w:numId w:val="8"/>
        </w:numPr>
        <w:tabs>
          <w:tab w:val="clear" w:pos="720"/>
          <w:tab w:val="num" w:pos="1134"/>
        </w:tabs>
        <w:ind w:left="1134" w:hanging="425"/>
        <w:rPr>
          <w:szCs w:val="24"/>
        </w:rPr>
      </w:pPr>
      <w:r>
        <w:rPr>
          <w:szCs w:val="24"/>
        </w:rPr>
        <w:t>dopuszcza się możliwość podziału istniejącej nieruchomości w obszarze planu:</w:t>
      </w:r>
      <w:r w:rsidRPr="00E47CC8">
        <w:rPr>
          <w:szCs w:val="24"/>
        </w:rPr>
        <w:t xml:space="preserve"> na potrzeby infrastruktury technicznej lub zmiany granic nieruchomości w zależności od bieżących potrzeb</w:t>
      </w:r>
      <w:r>
        <w:rPr>
          <w:szCs w:val="24"/>
        </w:rPr>
        <w:t xml:space="preserve">, </w:t>
      </w:r>
      <w:r w:rsidRPr="00E47CC8">
        <w:rPr>
          <w:szCs w:val="24"/>
        </w:rPr>
        <w:t>o</w:t>
      </w:r>
      <w:r>
        <w:rPr>
          <w:szCs w:val="24"/>
        </w:rPr>
        <w:t xml:space="preserve"> ile nie będzie to sprzeczne z projektem zagospodarowania złoża.</w:t>
      </w:r>
    </w:p>
    <w:p w14:paraId="04886279" w14:textId="77777777" w:rsidR="00A4438B" w:rsidRDefault="00A4438B" w:rsidP="00A4438B">
      <w:pPr>
        <w:pStyle w:val="rozdziaZnak"/>
        <w:numPr>
          <w:ilvl w:val="0"/>
          <w:numId w:val="1"/>
        </w:numPr>
      </w:pPr>
      <w:r>
        <w:t>Rozdział VI</w:t>
      </w:r>
    </w:p>
    <w:p w14:paraId="7F367978" w14:textId="77777777" w:rsidR="00A4438B" w:rsidRPr="003D33C1" w:rsidRDefault="00A4438B" w:rsidP="00A4438B">
      <w:pPr>
        <w:pStyle w:val="rozdziaZnak"/>
        <w:numPr>
          <w:ilvl w:val="0"/>
          <w:numId w:val="1"/>
        </w:numPr>
      </w:pPr>
      <w:r>
        <w:t>Szczególne warunki zagospodarowania terenów oraz ograniczenia jego użytkowania</w:t>
      </w:r>
    </w:p>
    <w:p w14:paraId="67DEF5AA" w14:textId="77777777" w:rsidR="00A4438B" w:rsidRDefault="00A4438B" w:rsidP="00A4438B">
      <w:pPr>
        <w:pStyle w:val="paragraf"/>
        <w:ind w:left="0"/>
      </w:pPr>
      <w:r>
        <w:t xml:space="preserve">W zakresie </w:t>
      </w:r>
      <w:r>
        <w:rPr>
          <w:rFonts w:cs="Verdana"/>
        </w:rPr>
        <w:t>szczególnych warunków zagospodarowania terenów oraz ograniczeń w ich użytkowaniu ustala się następujące warunki:</w:t>
      </w:r>
    </w:p>
    <w:p w14:paraId="6F836B5F" w14:textId="77777777" w:rsidR="00A4438B" w:rsidRDefault="00A4438B" w:rsidP="00A4438B">
      <w:pPr>
        <w:pStyle w:val="pkt"/>
        <w:numPr>
          <w:ilvl w:val="0"/>
          <w:numId w:val="9"/>
        </w:numPr>
        <w:tabs>
          <w:tab w:val="clear" w:pos="825"/>
          <w:tab w:val="num" w:pos="1134"/>
        </w:tabs>
        <w:ind w:left="1134" w:hanging="425"/>
      </w:pPr>
      <w:r>
        <w:t>przy realizacji inwestycji należy uwzględniać wszystkie przepisy szczególne w budownictwie;</w:t>
      </w:r>
    </w:p>
    <w:p w14:paraId="1FBB1BF1" w14:textId="77777777" w:rsidR="00A4438B" w:rsidRPr="00661B82" w:rsidRDefault="00A4438B" w:rsidP="00A4438B">
      <w:pPr>
        <w:pStyle w:val="pkt"/>
        <w:numPr>
          <w:ilvl w:val="0"/>
          <w:numId w:val="1"/>
        </w:numPr>
        <w:tabs>
          <w:tab w:val="clear" w:pos="4678"/>
          <w:tab w:val="left" w:pos="1153"/>
        </w:tabs>
        <w:suppressAutoHyphens w:val="0"/>
        <w:ind w:left="1153" w:hanging="360"/>
      </w:pPr>
      <w:r>
        <w:t xml:space="preserve">2) nową zabudowę należy realizować zgodnie z linią zabudowy określoną na rysunku planu i innymi </w:t>
      </w:r>
      <w:r w:rsidRPr="00661B82">
        <w:t>ustaleniami określonymi w planie.</w:t>
      </w:r>
    </w:p>
    <w:p w14:paraId="682BACE9" w14:textId="77777777" w:rsidR="00BE7876" w:rsidRDefault="00BE7876" w:rsidP="00A4438B">
      <w:pPr>
        <w:pStyle w:val="rozdziaZnak"/>
        <w:numPr>
          <w:ilvl w:val="0"/>
          <w:numId w:val="1"/>
        </w:numPr>
      </w:pPr>
    </w:p>
    <w:p w14:paraId="6E9567F8" w14:textId="77777777" w:rsidR="00A4438B" w:rsidRPr="00661B82" w:rsidRDefault="00A4438B" w:rsidP="00A4438B">
      <w:pPr>
        <w:pStyle w:val="rozdziaZnak"/>
        <w:numPr>
          <w:ilvl w:val="0"/>
          <w:numId w:val="1"/>
        </w:numPr>
      </w:pPr>
      <w:r w:rsidRPr="00661B82">
        <w:lastRenderedPageBreak/>
        <w:t>Rozdział VII</w:t>
      </w:r>
    </w:p>
    <w:p w14:paraId="74C28290" w14:textId="77777777" w:rsidR="00A4438B" w:rsidRPr="00661B82" w:rsidRDefault="00A4438B" w:rsidP="00A4438B">
      <w:pPr>
        <w:pStyle w:val="rozdziaZnak"/>
        <w:numPr>
          <w:ilvl w:val="0"/>
          <w:numId w:val="1"/>
        </w:numPr>
      </w:pPr>
      <w:r w:rsidRPr="00661B82">
        <w:t>Zasady obsługi komunikacyjnej i zaopatrzenie w infrastrukturę techniczną</w:t>
      </w:r>
    </w:p>
    <w:p w14:paraId="6517B6B0" w14:textId="77777777" w:rsidR="00A4438B" w:rsidRPr="00226C5C" w:rsidRDefault="00A4438B" w:rsidP="00A4438B">
      <w:pPr>
        <w:pStyle w:val="paragraf"/>
        <w:ind w:left="0"/>
      </w:pPr>
      <w:r w:rsidRPr="00226C5C">
        <w:t>W zakresie zasad modernizacji, rozbudowy i budowy systemów komunikacji zachowuje się istniejącą obsługę komunikacyjną obszaru objętego granicami planu prz</w:t>
      </w:r>
      <w:r w:rsidR="00D961C0">
        <w:t>yległą od strony północnej drogą</w:t>
      </w:r>
      <w:r w:rsidRPr="00226C5C">
        <w:t xml:space="preserve"> </w:t>
      </w:r>
      <w:r w:rsidRPr="00226C5C">
        <w:rPr>
          <w:szCs w:val="24"/>
        </w:rPr>
        <w:t>powiatową nr 1261B o przebiegu: Sidra – Nowowola</w:t>
      </w:r>
      <w:r w:rsidRPr="00226C5C">
        <w:t xml:space="preserve"> w istniej</w:t>
      </w:r>
      <w:r w:rsidR="00D961C0">
        <w:t>ących liniach rozgraniczających.</w:t>
      </w:r>
    </w:p>
    <w:p w14:paraId="59C858D3" w14:textId="77777777" w:rsidR="00A4438B" w:rsidRPr="005B0C32" w:rsidRDefault="00A4438B" w:rsidP="00A4438B">
      <w:pPr>
        <w:pStyle w:val="paragraf"/>
        <w:numPr>
          <w:ilvl w:val="0"/>
          <w:numId w:val="0"/>
        </w:numPr>
        <w:suppressAutoHyphens w:val="0"/>
        <w:ind w:left="709"/>
      </w:pPr>
      <w:r w:rsidRPr="005B0C32">
        <w:t>1) Ustala się następujące zasady i parametry obsługi komunikacyjnej:</w:t>
      </w:r>
    </w:p>
    <w:p w14:paraId="76047D27" w14:textId="77777777" w:rsidR="00A4438B" w:rsidRPr="00235240" w:rsidRDefault="00A4438B" w:rsidP="00A4438B">
      <w:pPr>
        <w:pStyle w:val="paragraf"/>
        <w:numPr>
          <w:ilvl w:val="0"/>
          <w:numId w:val="0"/>
        </w:numPr>
        <w:suppressAutoHyphens w:val="0"/>
        <w:ind w:left="709"/>
      </w:pPr>
      <w:r w:rsidRPr="005B0C32">
        <w:t xml:space="preserve">a) od istniejącej drogi powiatowej nr 1261B (poza terenem opracowania) o przebiegu: Sidra-Nowowola – nieprzekraczalna  linia zabudowy w odległości 8,0 m od zewnętrznej </w:t>
      </w:r>
      <w:r w:rsidRPr="00235240">
        <w:t>granicy jezdni,</w:t>
      </w:r>
    </w:p>
    <w:p w14:paraId="25422D97" w14:textId="77777777" w:rsidR="00A4438B" w:rsidRPr="005B0C32" w:rsidRDefault="00D961C0" w:rsidP="00A4438B">
      <w:pPr>
        <w:pStyle w:val="paragraf"/>
        <w:numPr>
          <w:ilvl w:val="0"/>
          <w:numId w:val="0"/>
        </w:numPr>
        <w:suppressAutoHyphens w:val="0"/>
        <w:ind w:left="709"/>
      </w:pPr>
      <w:r w:rsidRPr="00235240">
        <w:t>b)</w:t>
      </w:r>
      <w:r w:rsidR="00235240" w:rsidRPr="00235240">
        <w:t xml:space="preserve"> od istniejącej drogi dojazdowej</w:t>
      </w:r>
      <w:r w:rsidR="00A4438B" w:rsidRPr="00235240">
        <w:t xml:space="preserve"> położonej </w:t>
      </w:r>
      <w:r w:rsidR="00235240" w:rsidRPr="00235240">
        <w:rPr>
          <w:szCs w:val="24"/>
        </w:rPr>
        <w:t>na działkach oznaczonych w</w:t>
      </w:r>
      <w:r w:rsidR="00A4438B" w:rsidRPr="00235240">
        <w:rPr>
          <w:szCs w:val="24"/>
        </w:rPr>
        <w:t xml:space="preserve"> ewiden</w:t>
      </w:r>
      <w:r w:rsidR="00235240" w:rsidRPr="00235240">
        <w:rPr>
          <w:szCs w:val="24"/>
        </w:rPr>
        <w:t>cji gruntów nr 76/1 i nr 78/4 w obrębie Racewo, gmina Sidra</w:t>
      </w:r>
      <w:r w:rsidR="00A4438B" w:rsidRPr="00235240">
        <w:t>,</w:t>
      </w:r>
    </w:p>
    <w:p w14:paraId="76DBCD66" w14:textId="77777777" w:rsidR="00A4438B" w:rsidRPr="00226C5C" w:rsidRDefault="00D961C0" w:rsidP="00A4438B">
      <w:pPr>
        <w:pStyle w:val="paragraf"/>
        <w:numPr>
          <w:ilvl w:val="0"/>
          <w:numId w:val="0"/>
        </w:numPr>
        <w:suppressAutoHyphens w:val="0"/>
        <w:ind w:left="709"/>
      </w:pPr>
      <w:r>
        <w:t>c</w:t>
      </w:r>
      <w:r w:rsidR="00A4438B" w:rsidRPr="00226C5C">
        <w:t>) komunikacja wewnętrzna będzie odbywać się projektowanymi wewnętrznymi drogami zakładowymi;</w:t>
      </w:r>
    </w:p>
    <w:p w14:paraId="6963B032" w14:textId="77777777" w:rsidR="00A4438B" w:rsidRPr="00226C5C" w:rsidRDefault="00A4438B" w:rsidP="00A4438B">
      <w:pPr>
        <w:pStyle w:val="2ustZnak"/>
      </w:pPr>
      <w:r w:rsidRPr="00226C5C">
        <w:rPr>
          <w:szCs w:val="24"/>
        </w:rPr>
        <w:t>2) B</w:t>
      </w:r>
      <w:r w:rsidRPr="00226C5C">
        <w:t>udowa nawierzchni,  zjazdów i infrastruktury technic</w:t>
      </w:r>
      <w:r w:rsidR="00263A56">
        <w:t xml:space="preserve">znej w zależności od potrzeb </w:t>
      </w:r>
      <w:r w:rsidRPr="00226C5C">
        <w:t>prowadzonej inwestycji</w:t>
      </w:r>
      <w:r w:rsidR="00263A56">
        <w:t xml:space="preserve"> – m.in. umożliwienie </w:t>
      </w:r>
      <w:r w:rsidR="00263A56">
        <w:rPr>
          <w:color w:val="222222"/>
          <w:shd w:val="clear" w:color="auto" w:fill="FFFFFF"/>
        </w:rPr>
        <w:t>transportu taśmowego</w:t>
      </w:r>
      <w:r w:rsidR="00263A56" w:rsidRPr="0048001C">
        <w:rPr>
          <w:color w:val="222222"/>
          <w:shd w:val="clear" w:color="auto" w:fill="FFFFFF"/>
        </w:rPr>
        <w:t> poprzez przepust technologiczny pod drogą powiatową</w:t>
      </w:r>
      <w:r w:rsidR="00263A56" w:rsidRPr="006A0197">
        <w:rPr>
          <w:szCs w:val="24"/>
        </w:rPr>
        <w:t xml:space="preserve"> </w:t>
      </w:r>
      <w:r w:rsidR="00263A56" w:rsidRPr="007B5F8A">
        <w:rPr>
          <w:szCs w:val="24"/>
        </w:rPr>
        <w:t xml:space="preserve">Nr </w:t>
      </w:r>
      <w:r w:rsidR="00263A56" w:rsidRPr="006A0197">
        <w:rPr>
          <w:szCs w:val="24"/>
        </w:rPr>
        <w:t>1261B</w:t>
      </w:r>
      <w:r w:rsidR="00AE4273">
        <w:rPr>
          <w:szCs w:val="24"/>
        </w:rPr>
        <w:t xml:space="preserve"> o szerokości ca 3 m</w:t>
      </w:r>
      <w:r w:rsidR="00263A56" w:rsidRPr="006A0197">
        <w:rPr>
          <w:color w:val="222222"/>
          <w:shd w:val="clear" w:color="auto" w:fill="FFFFFF"/>
        </w:rPr>
        <w:t xml:space="preserve"> (orientacyjna lokalizacja na rysunku planu) do</w:t>
      </w:r>
      <w:r w:rsidR="00263A56" w:rsidRPr="0048001C">
        <w:rPr>
          <w:color w:val="222222"/>
          <w:shd w:val="clear" w:color="auto" w:fill="FFFFFF"/>
        </w:rPr>
        <w:t xml:space="preserve"> istniejącego zakładu górniczego znajdującego się po północnej </w:t>
      </w:r>
      <w:r w:rsidR="00263A56">
        <w:rPr>
          <w:color w:val="222222"/>
          <w:shd w:val="clear" w:color="auto" w:fill="FFFFFF"/>
        </w:rPr>
        <w:t>stronie drogi powiatowej (</w:t>
      </w:r>
      <w:r w:rsidR="00263A56" w:rsidRPr="0048001C">
        <w:rPr>
          <w:color w:val="222222"/>
          <w:shd w:val="clear" w:color="auto" w:fill="FFFFFF"/>
        </w:rPr>
        <w:t>poza obszarem objętym planem) lub transportem samochodowym</w:t>
      </w:r>
      <w:r w:rsidR="00263A56">
        <w:rPr>
          <w:color w:val="222222"/>
          <w:shd w:val="clear" w:color="auto" w:fill="FFFFFF"/>
        </w:rPr>
        <w:t>.</w:t>
      </w:r>
    </w:p>
    <w:p w14:paraId="306B6EF8" w14:textId="77777777" w:rsidR="00A4438B" w:rsidRPr="004B121B" w:rsidRDefault="00A4438B" w:rsidP="00A4438B">
      <w:pPr>
        <w:pStyle w:val="2ustZnak"/>
      </w:pPr>
      <w:r w:rsidRPr="00226C5C">
        <w:t>3) Ustala się minimalny wskaźnik ewentualnych miejsc parkingowych w postaci 6 miejsc postojowych na 10 zatrudnionych.</w:t>
      </w:r>
    </w:p>
    <w:p w14:paraId="248CDCCA" w14:textId="77777777" w:rsidR="00A4438B" w:rsidRPr="00226C5C" w:rsidRDefault="00A4438B" w:rsidP="00A4438B">
      <w:pPr>
        <w:pStyle w:val="paragraf"/>
        <w:ind w:left="0"/>
      </w:pPr>
      <w:r w:rsidRPr="00226C5C">
        <w:t>W zakresie zasad modernizacji, rozbudowy i budowy infrastruktury technicznej:</w:t>
      </w:r>
    </w:p>
    <w:p w14:paraId="4AFEE9CE" w14:textId="77777777" w:rsidR="00A4438B" w:rsidRPr="009F260D" w:rsidRDefault="00A4438B" w:rsidP="00A4438B">
      <w:pPr>
        <w:pStyle w:val="pkt"/>
        <w:numPr>
          <w:ilvl w:val="0"/>
          <w:numId w:val="10"/>
        </w:numPr>
      </w:pPr>
      <w:r w:rsidRPr="009F260D">
        <w:t>Zaopatrzenie w wodę:</w:t>
      </w:r>
    </w:p>
    <w:p w14:paraId="305C550F" w14:textId="77777777" w:rsidR="00A4438B" w:rsidRPr="009F260D" w:rsidRDefault="00A4438B" w:rsidP="00A4438B">
      <w:pPr>
        <w:pStyle w:val="pkt"/>
        <w:numPr>
          <w:ilvl w:val="0"/>
          <w:numId w:val="11"/>
        </w:numPr>
      </w:pPr>
      <w:r w:rsidRPr="009F260D">
        <w:t xml:space="preserve">z </w:t>
      </w:r>
      <w:r w:rsidR="009F260D" w:rsidRPr="009F260D">
        <w:t xml:space="preserve">przewidywanego </w:t>
      </w:r>
      <w:r w:rsidRPr="009F260D">
        <w:t xml:space="preserve">wodociągu gminnego w drodze </w:t>
      </w:r>
      <w:r w:rsidR="00BF4DE9" w:rsidRPr="009F260D">
        <w:t xml:space="preserve">powiatowej nr </w:t>
      </w:r>
      <w:r w:rsidRPr="009F260D">
        <w:t>1261B,</w:t>
      </w:r>
    </w:p>
    <w:p w14:paraId="6137F664" w14:textId="77777777" w:rsidR="00A4438B" w:rsidRDefault="00A4438B" w:rsidP="00A4438B">
      <w:pPr>
        <w:pStyle w:val="pkt"/>
        <w:numPr>
          <w:ilvl w:val="0"/>
          <w:numId w:val="11"/>
        </w:numPr>
      </w:pPr>
      <w:r w:rsidRPr="009F260D">
        <w:t>dopuszcza się stosowanie indywidualnych ujęć wody spełniających warunki określone</w:t>
      </w:r>
      <w:r>
        <w:t xml:space="preserve"> w obowiązujących w tym zakresie przepisach odrębnych;</w:t>
      </w:r>
    </w:p>
    <w:p w14:paraId="3AF44148" w14:textId="77777777" w:rsidR="00A4438B" w:rsidRDefault="00A4438B" w:rsidP="00A4438B">
      <w:pPr>
        <w:pStyle w:val="pkt"/>
        <w:numPr>
          <w:ilvl w:val="0"/>
          <w:numId w:val="10"/>
        </w:numPr>
      </w:pPr>
      <w:r>
        <w:t xml:space="preserve">odprowadzenie ścieków ustala się: </w:t>
      </w:r>
    </w:p>
    <w:p w14:paraId="477930A9" w14:textId="77777777" w:rsidR="00A4438B" w:rsidRPr="00D44904" w:rsidRDefault="00A4438B" w:rsidP="00A4438B">
      <w:pPr>
        <w:pStyle w:val="pkt"/>
        <w:numPr>
          <w:ilvl w:val="0"/>
          <w:numId w:val="12"/>
        </w:numPr>
      </w:pPr>
      <w:r>
        <w:t xml:space="preserve">do zbiorników </w:t>
      </w:r>
      <w:r w:rsidRPr="00D44904">
        <w:t xml:space="preserve">bezodpływowych, </w:t>
      </w:r>
    </w:p>
    <w:p w14:paraId="0F4CA481" w14:textId="77777777" w:rsidR="00A4438B" w:rsidRPr="00D44904" w:rsidRDefault="00A4438B" w:rsidP="00A4438B">
      <w:pPr>
        <w:pStyle w:val="pkt"/>
        <w:numPr>
          <w:ilvl w:val="0"/>
          <w:numId w:val="12"/>
        </w:numPr>
      </w:pPr>
      <w:r w:rsidRPr="00D44904">
        <w:t xml:space="preserve">do oczyszczalni własnych, z uwzględnieniem obowiązujących w tym zakresie przepisach odrębnych; </w:t>
      </w:r>
    </w:p>
    <w:p w14:paraId="0A4FABED" w14:textId="77777777" w:rsidR="00A4438B" w:rsidRPr="00D44904" w:rsidRDefault="00A4438B" w:rsidP="00A4438B">
      <w:pPr>
        <w:pStyle w:val="pkt"/>
        <w:numPr>
          <w:ilvl w:val="0"/>
          <w:numId w:val="10"/>
        </w:numPr>
      </w:pPr>
      <w:r w:rsidRPr="00D44904">
        <w:t xml:space="preserve">Odprowadzenie wód opadowych ustala się do gruntu na użytkowanym terenie, z uwzględnieniem obowiązujących w tym zakresie przepisach odrębnych;   </w:t>
      </w:r>
    </w:p>
    <w:p w14:paraId="2D836C61" w14:textId="77777777" w:rsidR="00A4438B" w:rsidRPr="00226C5C" w:rsidRDefault="00A4438B" w:rsidP="00A4438B">
      <w:pPr>
        <w:pStyle w:val="pkt"/>
        <w:numPr>
          <w:ilvl w:val="0"/>
          <w:numId w:val="10"/>
        </w:numPr>
      </w:pPr>
      <w:r w:rsidRPr="00226C5C">
        <w:t>Zaopatrzenie w ciepło:</w:t>
      </w:r>
    </w:p>
    <w:p w14:paraId="25E19171" w14:textId="77777777" w:rsidR="00A4438B" w:rsidRPr="00226C5C" w:rsidRDefault="00A4438B" w:rsidP="00A4438B">
      <w:pPr>
        <w:pStyle w:val="pkt"/>
        <w:numPr>
          <w:ilvl w:val="0"/>
          <w:numId w:val="15"/>
        </w:numPr>
        <w:tabs>
          <w:tab w:val="clear" w:pos="4678"/>
        </w:tabs>
      </w:pPr>
      <w:r w:rsidRPr="00226C5C">
        <w:t>ustala się z lokalnych lub indywidualnych źródeł ciepła, wytwarzanego w procesach  zaopatrzenia uzyskiwania energii z promieniowania słonecznego (solarnej), gruntu (geotermalnej), wody (hydrotermalnej) lub zawartej w innych nośnikach,</w:t>
      </w:r>
    </w:p>
    <w:p w14:paraId="59956B79" w14:textId="77777777" w:rsidR="00A4438B" w:rsidRPr="00226C5C" w:rsidRDefault="00A4438B" w:rsidP="00A4438B">
      <w:pPr>
        <w:pStyle w:val="pkt"/>
        <w:numPr>
          <w:ilvl w:val="0"/>
          <w:numId w:val="15"/>
        </w:numPr>
        <w:tabs>
          <w:tab w:val="clear" w:pos="4678"/>
        </w:tabs>
      </w:pPr>
      <w:r w:rsidRPr="00226C5C">
        <w:t>spalania gazów opałowych, olejów opałowych,</w:t>
      </w:r>
    </w:p>
    <w:p w14:paraId="5448EF7A" w14:textId="77777777" w:rsidR="00A4438B" w:rsidRPr="00226C5C" w:rsidRDefault="00A4438B" w:rsidP="00A4438B">
      <w:pPr>
        <w:pStyle w:val="pkt"/>
        <w:numPr>
          <w:ilvl w:val="0"/>
          <w:numId w:val="15"/>
        </w:numPr>
        <w:tabs>
          <w:tab w:val="clear" w:pos="4678"/>
        </w:tabs>
      </w:pPr>
      <w:r w:rsidRPr="00226C5C">
        <w:lastRenderedPageBreak/>
        <w:t>dopuszcza się stosowanie lokalnych lub indywidualnych źródeł ciepła wytwarzanego w procesach spalania paliw stałych w zakresie określonym w przepisach odrębnych prawa energetycznego i dotyczących ochrony środowiska przed zanieczyszczeniem;</w:t>
      </w:r>
    </w:p>
    <w:p w14:paraId="0D17F217" w14:textId="77777777" w:rsidR="00A4438B" w:rsidRPr="00226C5C" w:rsidRDefault="00A4438B" w:rsidP="00A4438B">
      <w:pPr>
        <w:pStyle w:val="pkt"/>
        <w:numPr>
          <w:ilvl w:val="0"/>
          <w:numId w:val="10"/>
        </w:numPr>
      </w:pPr>
      <w:r w:rsidRPr="00226C5C">
        <w:t>W zakresie zaopatrzenia w energię elektryczną:</w:t>
      </w:r>
    </w:p>
    <w:p w14:paraId="6AAF1CDE" w14:textId="77777777" w:rsidR="00A4438B" w:rsidRPr="00226C5C" w:rsidRDefault="00A4438B" w:rsidP="00A4438B">
      <w:pPr>
        <w:pStyle w:val="pkt"/>
        <w:numPr>
          <w:ilvl w:val="2"/>
          <w:numId w:val="10"/>
        </w:numPr>
        <w:tabs>
          <w:tab w:val="clear" w:pos="2340"/>
          <w:tab w:val="num" w:pos="1134"/>
        </w:tabs>
        <w:ind w:left="1134" w:hanging="425"/>
        <w:rPr>
          <w:rFonts w:eastAsia="Times New Roman"/>
        </w:rPr>
      </w:pPr>
      <w:r w:rsidRPr="00226C5C">
        <w:t>ustala się zaopatrzenie w energię elektryczną z istniejących stacji transformatorowych 15/0,4 kV zlokalizowanych poza terenem objętym planem za pośrednictwem istniejących oraz projektowanych linii napowietrznych i kablowo-napowietrznych,</w:t>
      </w:r>
    </w:p>
    <w:p w14:paraId="5AF3598C" w14:textId="77777777" w:rsidR="00A4438B" w:rsidRPr="00226C5C" w:rsidRDefault="00A4438B" w:rsidP="00A4438B">
      <w:pPr>
        <w:pStyle w:val="pkt"/>
        <w:numPr>
          <w:ilvl w:val="2"/>
          <w:numId w:val="10"/>
        </w:numPr>
        <w:tabs>
          <w:tab w:val="clear" w:pos="2340"/>
          <w:tab w:val="num" w:pos="1134"/>
        </w:tabs>
        <w:ind w:left="1134" w:hanging="425"/>
        <w:rPr>
          <w:rFonts w:eastAsia="Times New Roman"/>
        </w:rPr>
      </w:pPr>
      <w:r w:rsidRPr="00226C5C">
        <w:rPr>
          <w:rFonts w:eastAsia="Times New Roman"/>
        </w:rPr>
        <w:t>należy ustanowić strefy ochronne wzdłuż projektowanych i istniejących linii elektroenergetycznych zgodnie z normami i odrębnymi przepisami,</w:t>
      </w:r>
    </w:p>
    <w:p w14:paraId="44BF3516" w14:textId="77777777" w:rsidR="00A4438B" w:rsidRPr="00226C5C" w:rsidRDefault="00A4438B" w:rsidP="00A4438B">
      <w:pPr>
        <w:pStyle w:val="pkt"/>
        <w:numPr>
          <w:ilvl w:val="2"/>
          <w:numId w:val="10"/>
        </w:numPr>
        <w:tabs>
          <w:tab w:val="clear" w:pos="2340"/>
          <w:tab w:val="num" w:pos="1134"/>
        </w:tabs>
        <w:ind w:left="1134" w:hanging="425"/>
        <w:rPr>
          <w:rFonts w:eastAsia="Times New Roman"/>
        </w:rPr>
      </w:pPr>
      <w:r w:rsidRPr="00226C5C">
        <w:t>d</w:t>
      </w:r>
      <w:r w:rsidRPr="00226C5C">
        <w:rPr>
          <w:szCs w:val="24"/>
        </w:rPr>
        <w:t>opuszcza się możliwość budowy i przebudowy urządzeń elektroenergetycznych kolidujących z planowanym zagospodarowaniem terenu na warunkach gestora sieci, z zachowaniem obowiązujących przepisów szczególnych;</w:t>
      </w:r>
    </w:p>
    <w:p w14:paraId="7664760A" w14:textId="77777777" w:rsidR="00A4438B" w:rsidRPr="00226C5C" w:rsidRDefault="00A4438B" w:rsidP="00A4438B">
      <w:pPr>
        <w:pStyle w:val="pkt"/>
        <w:numPr>
          <w:ilvl w:val="0"/>
          <w:numId w:val="10"/>
        </w:numPr>
        <w:rPr>
          <w:szCs w:val="24"/>
        </w:rPr>
      </w:pPr>
      <w:r w:rsidRPr="00226C5C">
        <w:rPr>
          <w:bCs/>
        </w:rPr>
        <w:t>W zakresie obsługi telekomunikacyjnej</w:t>
      </w:r>
      <w:r w:rsidRPr="00226C5C">
        <w:t xml:space="preserve"> ustala się:</w:t>
      </w:r>
    </w:p>
    <w:p w14:paraId="071150CD" w14:textId="77777777" w:rsidR="00A4438B" w:rsidRPr="00226C5C" w:rsidRDefault="00A4438B" w:rsidP="00A4438B">
      <w:pPr>
        <w:pStyle w:val="pkt"/>
        <w:numPr>
          <w:ilvl w:val="2"/>
          <w:numId w:val="10"/>
        </w:numPr>
        <w:tabs>
          <w:tab w:val="clear" w:pos="2340"/>
          <w:tab w:val="num" w:pos="1134"/>
        </w:tabs>
        <w:ind w:left="1134" w:hanging="425"/>
        <w:rPr>
          <w:szCs w:val="24"/>
        </w:rPr>
      </w:pPr>
      <w:r w:rsidRPr="00226C5C">
        <w:rPr>
          <w:szCs w:val="24"/>
        </w:rPr>
        <w:t>lokalizowanie sieci telekomunikacyjnej oraz urządzeń przekaźnikowych telekomunikacji zgodnie z zachowaniem obowiązujących przepisów odrębnych,</w:t>
      </w:r>
    </w:p>
    <w:p w14:paraId="3E5582FE" w14:textId="77777777" w:rsidR="00A4438B" w:rsidRPr="00226C5C" w:rsidRDefault="00A4438B" w:rsidP="00A4438B">
      <w:pPr>
        <w:pStyle w:val="pkt"/>
        <w:numPr>
          <w:ilvl w:val="2"/>
          <w:numId w:val="10"/>
        </w:numPr>
        <w:tabs>
          <w:tab w:val="clear" w:pos="2340"/>
          <w:tab w:val="num" w:pos="1134"/>
        </w:tabs>
        <w:ind w:left="1134" w:hanging="425"/>
        <w:rPr>
          <w:szCs w:val="24"/>
        </w:rPr>
      </w:pPr>
      <w:r w:rsidRPr="00226C5C">
        <w:rPr>
          <w:szCs w:val="24"/>
        </w:rPr>
        <w:t>obsługę łączności telefonii bezprzewodowej – z istniejących stacji bazowych telefonii cyfrowej zlokalizowanych poza obszarem opracowania oraz projektowanych stacji bazowych telefonii cyfrowej,</w:t>
      </w:r>
    </w:p>
    <w:p w14:paraId="718F1ECA" w14:textId="77777777" w:rsidR="00A4438B" w:rsidRPr="00226C5C" w:rsidRDefault="00A4438B" w:rsidP="00A4438B">
      <w:pPr>
        <w:pStyle w:val="pkt"/>
        <w:numPr>
          <w:ilvl w:val="2"/>
          <w:numId w:val="10"/>
        </w:numPr>
        <w:tabs>
          <w:tab w:val="clear" w:pos="2340"/>
          <w:tab w:val="num" w:pos="1134"/>
        </w:tabs>
        <w:ind w:left="1134" w:hanging="425"/>
        <w:rPr>
          <w:szCs w:val="24"/>
        </w:rPr>
      </w:pPr>
      <w:r w:rsidRPr="00226C5C">
        <w:rPr>
          <w:szCs w:val="24"/>
        </w:rPr>
        <w:t>dopuszcza się możliwość przełożenia istniejących sieci telekomunikacyjnych kolidujących z planowanym zagospodarowaniem</w:t>
      </w:r>
      <w:r>
        <w:rPr>
          <w:szCs w:val="24"/>
        </w:rPr>
        <w:t xml:space="preserve"> terenu, za zgodą gestora sieci,</w:t>
      </w:r>
    </w:p>
    <w:p w14:paraId="1A9D2764" w14:textId="77777777" w:rsidR="00A4438B" w:rsidRPr="003D33C1" w:rsidRDefault="00A4438B" w:rsidP="00A4438B">
      <w:pPr>
        <w:pStyle w:val="pkt"/>
        <w:numPr>
          <w:ilvl w:val="0"/>
          <w:numId w:val="0"/>
        </w:numPr>
        <w:ind w:left="720"/>
        <w:rPr>
          <w:szCs w:val="24"/>
        </w:rPr>
      </w:pPr>
      <w:r w:rsidRPr="00226C5C">
        <w:t xml:space="preserve"> poprzez wykorzystanie wszystkich dostępnych systemów telekomunikacyjnych z </w:t>
      </w:r>
      <w:r>
        <w:t xml:space="preserve">zachowaniem obowiązujących przepisów odrębnych. </w:t>
      </w:r>
    </w:p>
    <w:p w14:paraId="19FCF27C" w14:textId="77777777" w:rsidR="00A4438B" w:rsidRDefault="00A4438B" w:rsidP="00A4438B">
      <w:pPr>
        <w:pStyle w:val="rozdziaZnak"/>
        <w:numPr>
          <w:ilvl w:val="0"/>
          <w:numId w:val="0"/>
        </w:numPr>
        <w:ind w:left="720"/>
      </w:pPr>
      <w:r>
        <w:t>Rozdział VIII</w:t>
      </w:r>
    </w:p>
    <w:p w14:paraId="17EF39A5" w14:textId="77777777" w:rsidR="00A4438B" w:rsidRDefault="00A4438B" w:rsidP="00A4438B">
      <w:pPr>
        <w:pStyle w:val="rozdziaZnak"/>
        <w:numPr>
          <w:ilvl w:val="0"/>
          <w:numId w:val="0"/>
        </w:numPr>
        <w:ind w:left="720"/>
      </w:pPr>
      <w:r>
        <w:t>Sposób i termin tymczasowego zagospodarowania, urządzenia i użytkowania terenów</w:t>
      </w:r>
    </w:p>
    <w:p w14:paraId="4F832411" w14:textId="77777777" w:rsidR="00A4438B" w:rsidRDefault="00A4438B" w:rsidP="00A4438B">
      <w:pPr>
        <w:pStyle w:val="paragraf"/>
        <w:ind w:left="0"/>
        <w:rPr>
          <w:rFonts w:cs="Verdana"/>
        </w:rPr>
      </w:pPr>
      <w:r>
        <w:rPr>
          <w:szCs w:val="24"/>
        </w:rPr>
        <w:t xml:space="preserve">W zakresie </w:t>
      </w:r>
      <w:r>
        <w:rPr>
          <w:rFonts w:cs="Verdana"/>
        </w:rPr>
        <w:t>sposobu i terminu tymczasowego zagospodarowania, urządzania i użytkowania terenu  n</w:t>
      </w:r>
      <w:r>
        <w:t xml:space="preserve">ie ustala się innego sposobu tymczasowego zagospodarowania, urządzania niż </w:t>
      </w:r>
      <w:r w:rsidRPr="00786E67">
        <w:t>określono §7 pkt 1</w:t>
      </w:r>
      <w:r>
        <w:t xml:space="preserve">. </w:t>
      </w:r>
      <w:r>
        <w:rPr>
          <w:rFonts w:cs="Verdana"/>
        </w:rPr>
        <w:t xml:space="preserve"> </w:t>
      </w:r>
    </w:p>
    <w:p w14:paraId="750B71B2" w14:textId="77777777" w:rsidR="00A4438B" w:rsidRDefault="00A4438B" w:rsidP="00A4438B">
      <w:pPr>
        <w:pStyle w:val="rozdziaZnak"/>
        <w:numPr>
          <w:ilvl w:val="0"/>
          <w:numId w:val="0"/>
        </w:numPr>
        <w:ind w:left="720"/>
      </w:pPr>
      <w:r>
        <w:t>Rozdział IX</w:t>
      </w:r>
    </w:p>
    <w:p w14:paraId="5315AB7B" w14:textId="77777777" w:rsidR="00A4438B" w:rsidRDefault="00A4438B" w:rsidP="00A4438B">
      <w:pPr>
        <w:pStyle w:val="rozdziaZnak"/>
        <w:numPr>
          <w:ilvl w:val="0"/>
          <w:numId w:val="0"/>
        </w:numPr>
        <w:ind w:left="720"/>
      </w:pPr>
      <w:r>
        <w:t>Stawki procentowe, na podstawie których ustala się opłatę z tytułu wzrostu wartości nieruchomości w związku z uchwaleniem planu</w:t>
      </w:r>
    </w:p>
    <w:p w14:paraId="0160643B" w14:textId="77777777" w:rsidR="00A4438B" w:rsidRPr="00211F1A" w:rsidRDefault="00A4438B" w:rsidP="00A4438B">
      <w:pPr>
        <w:pStyle w:val="paragraf"/>
        <w:ind w:left="0"/>
        <w:rPr>
          <w:szCs w:val="24"/>
        </w:rPr>
      </w:pPr>
      <w:r>
        <w:t>Ustala się stawkę procentową służącą naliczeniu jednorazowej opłaty z tytułu wzrostu wartości nieruchomości w związku z uchwaleniem planu w wysokości 30</w:t>
      </w:r>
      <w:r>
        <w:rPr>
          <w:szCs w:val="24"/>
        </w:rPr>
        <w:t>% (słownie trzydzieści procent).</w:t>
      </w:r>
    </w:p>
    <w:p w14:paraId="69F1D70A" w14:textId="77777777" w:rsidR="00A4438B" w:rsidRDefault="00A4438B" w:rsidP="00A4438B">
      <w:pPr>
        <w:pStyle w:val="rozdziaZnak"/>
        <w:numPr>
          <w:ilvl w:val="0"/>
          <w:numId w:val="0"/>
        </w:numPr>
        <w:ind w:left="720"/>
      </w:pPr>
      <w:r>
        <w:t>Rozdział X</w:t>
      </w:r>
    </w:p>
    <w:p w14:paraId="7DD38FE5" w14:textId="77777777" w:rsidR="00A4438B" w:rsidRPr="00156F77" w:rsidRDefault="00A4438B" w:rsidP="00A4438B">
      <w:pPr>
        <w:pStyle w:val="paragraf"/>
        <w:numPr>
          <w:ilvl w:val="0"/>
          <w:numId w:val="0"/>
        </w:numPr>
        <w:suppressAutoHyphens w:val="0"/>
        <w:spacing w:before="100"/>
        <w:ind w:left="567" w:hanging="567"/>
        <w:jc w:val="center"/>
        <w:rPr>
          <w:b/>
          <w:szCs w:val="24"/>
        </w:rPr>
      </w:pPr>
      <w:r>
        <w:rPr>
          <w:b/>
        </w:rPr>
        <w:t>Przeznaczenie gruntów rolnych i leśnych na cele nierolnicze i nieleśne</w:t>
      </w:r>
    </w:p>
    <w:p w14:paraId="384433C3" w14:textId="77777777" w:rsidR="00A4438B" w:rsidRPr="00F90BBA" w:rsidRDefault="00A4438B" w:rsidP="00A4438B">
      <w:pPr>
        <w:pStyle w:val="paragraf"/>
        <w:ind w:left="0"/>
      </w:pPr>
      <w:r w:rsidRPr="00226C5C">
        <w:t xml:space="preserve">1. Tereny określone w niniejszej uchwale dotyczące zmiany przeznaczenia pod zagospodarowanie – wymagają uzyskiwania zgody </w:t>
      </w:r>
      <w:r w:rsidRPr="00F90BBA">
        <w:t>organów, o których mowa w art. 7 ustawy z dnia 3 lutego 1995r. o ochronie gruntów rolnych i leśnych (Dz. U. z 2022</w:t>
      </w:r>
      <w:r w:rsidR="006F5C32">
        <w:t xml:space="preserve"> </w:t>
      </w:r>
      <w:r w:rsidRPr="00F90BBA">
        <w:t>r. poz. 2409</w:t>
      </w:r>
      <w:r w:rsidR="00F90BBA" w:rsidRPr="00F90BBA">
        <w:t>, z 2023 r. poz. 1597</w:t>
      </w:r>
      <w:r w:rsidR="006F5C32">
        <w:t>, 1688</w:t>
      </w:r>
      <w:r w:rsidRPr="00F90BBA">
        <w:t xml:space="preserve">). </w:t>
      </w:r>
    </w:p>
    <w:p w14:paraId="2B828526" w14:textId="77777777" w:rsidR="00A4438B" w:rsidRDefault="00B84772" w:rsidP="006F5C32">
      <w:pPr>
        <w:pStyle w:val="paragraf"/>
        <w:numPr>
          <w:ilvl w:val="0"/>
          <w:numId w:val="0"/>
        </w:numPr>
        <w:suppressAutoHyphens w:val="0"/>
        <w:spacing w:before="100"/>
        <w:ind w:left="284" w:hanging="284"/>
      </w:pPr>
      <w:r>
        <w:lastRenderedPageBreak/>
        <w:t xml:space="preserve">2. </w:t>
      </w:r>
      <w:r w:rsidR="00A4438B" w:rsidRPr="006F5C32">
        <w:t>Przeznacza się następujące grunty leśne</w:t>
      </w:r>
      <w:r w:rsidR="004747BA" w:rsidRPr="006F5C32">
        <w:t xml:space="preserve"> położone w obrębie </w:t>
      </w:r>
      <w:r w:rsidR="006F5C32">
        <w:t xml:space="preserve">geodezyjnym </w:t>
      </w:r>
      <w:r w:rsidR="004747BA" w:rsidRPr="006F5C32">
        <w:t>Racewo gmina Sidra</w:t>
      </w:r>
      <w:r w:rsidR="00A4438B" w:rsidRPr="006F5C32">
        <w:t xml:space="preserve"> na cele nieleśne:</w:t>
      </w:r>
    </w:p>
    <w:p w14:paraId="493ADD51" w14:textId="77777777" w:rsidR="00A4438B" w:rsidRDefault="006F5C32" w:rsidP="006F5C32">
      <w:pPr>
        <w:pStyle w:val="pkt"/>
        <w:numPr>
          <w:ilvl w:val="0"/>
          <w:numId w:val="20"/>
        </w:numPr>
      </w:pPr>
      <w:r>
        <w:t xml:space="preserve">Las Ls o powierzchni 0,8402 ha – dz. Nr 78/1 – własność Skarbu Państwa, </w:t>
      </w:r>
      <w:r w:rsidR="00263A56">
        <w:t>na mocy Zgody</w:t>
      </w:r>
      <w:r w:rsidR="00A4438B" w:rsidRPr="000217C8">
        <w:t xml:space="preserve"> M</w:t>
      </w:r>
      <w:r w:rsidR="00263A56">
        <w:t>inistra Klimatu i Środowiska</w:t>
      </w:r>
      <w:r w:rsidR="00A4438B" w:rsidRPr="000217C8">
        <w:t xml:space="preserve"> Nr</w:t>
      </w:r>
      <w:r w:rsidR="00263A56">
        <w:t xml:space="preserve"> </w:t>
      </w:r>
      <w:r w:rsidR="00B739DA">
        <w:t>DLŁ-WNL.8130.129.2023.MP(AZ) 2898073.11469217.9487332 z dnia 12 lutego 2024</w:t>
      </w:r>
      <w:r w:rsidR="00A4438B" w:rsidRPr="000217C8">
        <w:t xml:space="preserve"> r.</w:t>
      </w:r>
      <w:r w:rsidR="005E33A5">
        <w:t>;</w:t>
      </w:r>
    </w:p>
    <w:p w14:paraId="72495672" w14:textId="77777777" w:rsidR="006F5C32" w:rsidRPr="000217C8" w:rsidRDefault="006F5C32" w:rsidP="006F5C32">
      <w:pPr>
        <w:pStyle w:val="pkt"/>
        <w:numPr>
          <w:ilvl w:val="0"/>
          <w:numId w:val="20"/>
        </w:numPr>
      </w:pPr>
      <w:r>
        <w:t>Lasy LsV o powierzchni 0,0101 ha – dz. Nr 78/5 – własność Spółdzielni Kółek Rolniczych w Janowie, na mocy Decyzji Marszałka Wo</w:t>
      </w:r>
      <w:r w:rsidR="009F21F3">
        <w:t>jewództwa Podlaskiego Nr DGN-III.7151.22.2023 z dnia 31 października</w:t>
      </w:r>
      <w:r>
        <w:t xml:space="preserve"> 2023 r.</w:t>
      </w:r>
    </w:p>
    <w:p w14:paraId="02865472" w14:textId="77777777" w:rsidR="003B5156" w:rsidRDefault="00B84772" w:rsidP="006F5C32">
      <w:pPr>
        <w:pStyle w:val="paragraf"/>
        <w:numPr>
          <w:ilvl w:val="0"/>
          <w:numId w:val="0"/>
        </w:numPr>
        <w:suppressAutoHyphens w:val="0"/>
        <w:spacing w:before="100"/>
        <w:ind w:left="284" w:hanging="284"/>
      </w:pPr>
      <w:r w:rsidRPr="00725855">
        <w:t>3</w:t>
      </w:r>
      <w:r w:rsidR="00A4438B" w:rsidRPr="00725855">
        <w:t>. Przeznacza się następujące grunty rolne</w:t>
      </w:r>
      <w:r w:rsidRPr="00725855">
        <w:t xml:space="preserve"> położone w obrębie Racewo gmina Sidra</w:t>
      </w:r>
      <w:r w:rsidR="00A4438B" w:rsidRPr="00725855">
        <w:t xml:space="preserve"> </w:t>
      </w:r>
      <w:r w:rsidRPr="00725855">
        <w:br/>
      </w:r>
      <w:r w:rsidR="00A4438B" w:rsidRPr="00725855">
        <w:t>na cele nierolnicze</w:t>
      </w:r>
      <w:r w:rsidR="00C11521">
        <w:t xml:space="preserve"> sklasyfikowane jak w tabeli poniżej</w:t>
      </w:r>
      <w:r w:rsidR="00A4438B" w:rsidRPr="00725855">
        <w:t>:</w:t>
      </w:r>
    </w:p>
    <w:tbl>
      <w:tblPr>
        <w:tblStyle w:val="Tabela-Siatka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139"/>
        <w:gridCol w:w="1270"/>
        <w:gridCol w:w="1276"/>
        <w:gridCol w:w="997"/>
      </w:tblGrid>
      <w:tr w:rsidR="00A16A20" w:rsidRPr="002C793F" w14:paraId="4ABB00E4" w14:textId="77777777" w:rsidTr="00951C39">
        <w:tc>
          <w:tcPr>
            <w:tcW w:w="1271" w:type="dxa"/>
          </w:tcPr>
          <w:p w14:paraId="766244CB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ind w:right="-108"/>
              <w:jc w:val="left"/>
            </w:pPr>
            <w:r w:rsidRPr="002C793F">
              <w:t>Oznaczenie użytków</w:t>
            </w:r>
          </w:p>
        </w:tc>
        <w:tc>
          <w:tcPr>
            <w:tcW w:w="1276" w:type="dxa"/>
          </w:tcPr>
          <w:p w14:paraId="32F62678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Pow.</w:t>
            </w:r>
          </w:p>
          <w:p w14:paraId="282EAAC7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  <w:rPr>
                <w:sz w:val="18"/>
                <w:szCs w:val="18"/>
              </w:rPr>
            </w:pPr>
            <w:r w:rsidRPr="002C793F">
              <w:rPr>
                <w:sz w:val="18"/>
                <w:szCs w:val="18"/>
              </w:rPr>
              <w:t>Dz. Nr 76/1</w:t>
            </w:r>
          </w:p>
        </w:tc>
        <w:tc>
          <w:tcPr>
            <w:tcW w:w="1276" w:type="dxa"/>
          </w:tcPr>
          <w:p w14:paraId="215A5E53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Pow.</w:t>
            </w:r>
          </w:p>
          <w:p w14:paraId="22E15B50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  <w:rPr>
                <w:sz w:val="18"/>
                <w:szCs w:val="18"/>
              </w:rPr>
            </w:pPr>
            <w:r w:rsidRPr="002C793F">
              <w:rPr>
                <w:sz w:val="18"/>
                <w:szCs w:val="18"/>
              </w:rPr>
              <w:t>Dz. Nr 77/1</w:t>
            </w:r>
          </w:p>
        </w:tc>
        <w:tc>
          <w:tcPr>
            <w:tcW w:w="1139" w:type="dxa"/>
          </w:tcPr>
          <w:p w14:paraId="3A78D8A4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Pow.</w:t>
            </w:r>
          </w:p>
          <w:p w14:paraId="491BD77B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  <w:rPr>
                <w:sz w:val="18"/>
                <w:szCs w:val="18"/>
              </w:rPr>
            </w:pPr>
            <w:r w:rsidRPr="002C793F">
              <w:rPr>
                <w:sz w:val="18"/>
                <w:szCs w:val="18"/>
              </w:rPr>
              <w:t>Dz. Nr 78/1</w:t>
            </w:r>
          </w:p>
        </w:tc>
        <w:tc>
          <w:tcPr>
            <w:tcW w:w="1270" w:type="dxa"/>
          </w:tcPr>
          <w:p w14:paraId="4C266399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Pow.</w:t>
            </w:r>
          </w:p>
          <w:p w14:paraId="77C7BD38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  <w:rPr>
                <w:sz w:val="18"/>
                <w:szCs w:val="18"/>
              </w:rPr>
            </w:pPr>
            <w:r w:rsidRPr="002C793F">
              <w:rPr>
                <w:sz w:val="18"/>
                <w:szCs w:val="18"/>
              </w:rPr>
              <w:t>Dz. Nr 78/4</w:t>
            </w:r>
          </w:p>
        </w:tc>
        <w:tc>
          <w:tcPr>
            <w:tcW w:w="1276" w:type="dxa"/>
          </w:tcPr>
          <w:p w14:paraId="44B308FA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Pow.</w:t>
            </w:r>
          </w:p>
          <w:p w14:paraId="236C2D92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  <w:rPr>
                <w:sz w:val="18"/>
                <w:szCs w:val="18"/>
              </w:rPr>
            </w:pPr>
            <w:r w:rsidRPr="002C793F">
              <w:rPr>
                <w:sz w:val="18"/>
                <w:szCs w:val="18"/>
              </w:rPr>
              <w:t>Dz. Nr 78/5</w:t>
            </w:r>
          </w:p>
        </w:tc>
        <w:tc>
          <w:tcPr>
            <w:tcW w:w="997" w:type="dxa"/>
          </w:tcPr>
          <w:p w14:paraId="081D1036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Razem</w:t>
            </w:r>
          </w:p>
          <w:p w14:paraId="5E0396BF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(ha)</w:t>
            </w:r>
          </w:p>
        </w:tc>
      </w:tr>
      <w:tr w:rsidR="00A16A20" w:rsidRPr="002C793F" w14:paraId="1F863E8A" w14:textId="77777777" w:rsidTr="00951C39">
        <w:tc>
          <w:tcPr>
            <w:tcW w:w="1271" w:type="dxa"/>
          </w:tcPr>
          <w:p w14:paraId="031E0D10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RIVa</w:t>
            </w:r>
          </w:p>
        </w:tc>
        <w:tc>
          <w:tcPr>
            <w:tcW w:w="1276" w:type="dxa"/>
            <w:shd w:val="clear" w:color="auto" w:fill="auto"/>
          </w:tcPr>
          <w:p w14:paraId="32E7D74F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33BC9E5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0,2739</w:t>
            </w:r>
          </w:p>
        </w:tc>
        <w:tc>
          <w:tcPr>
            <w:tcW w:w="1139" w:type="dxa"/>
            <w:shd w:val="clear" w:color="auto" w:fill="auto"/>
          </w:tcPr>
          <w:p w14:paraId="27BD18A8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0" w:type="dxa"/>
            <w:shd w:val="clear" w:color="auto" w:fill="auto"/>
          </w:tcPr>
          <w:p w14:paraId="1C679CEF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FC3445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0,7255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6E24C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0,9994</w:t>
            </w:r>
          </w:p>
        </w:tc>
      </w:tr>
      <w:tr w:rsidR="00A16A20" w:rsidRPr="002C793F" w14:paraId="11459ED2" w14:textId="77777777" w:rsidTr="00951C39">
        <w:tc>
          <w:tcPr>
            <w:tcW w:w="1271" w:type="dxa"/>
          </w:tcPr>
          <w:p w14:paraId="7C19EFD9" w14:textId="77777777" w:rsidR="00A16A20" w:rsidRPr="002C793F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2C793F">
              <w:t>RIVb</w:t>
            </w:r>
          </w:p>
        </w:tc>
        <w:tc>
          <w:tcPr>
            <w:tcW w:w="1276" w:type="dxa"/>
            <w:shd w:val="clear" w:color="auto" w:fill="auto"/>
          </w:tcPr>
          <w:p w14:paraId="0A134F1F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0,0749</w:t>
            </w:r>
          </w:p>
        </w:tc>
        <w:tc>
          <w:tcPr>
            <w:tcW w:w="1276" w:type="dxa"/>
            <w:shd w:val="clear" w:color="auto" w:fill="auto"/>
          </w:tcPr>
          <w:p w14:paraId="21CF1255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2,5564</w:t>
            </w:r>
          </w:p>
        </w:tc>
        <w:tc>
          <w:tcPr>
            <w:tcW w:w="1139" w:type="dxa"/>
            <w:shd w:val="clear" w:color="auto" w:fill="auto"/>
          </w:tcPr>
          <w:p w14:paraId="1FFF17F4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0" w:type="dxa"/>
            <w:shd w:val="clear" w:color="auto" w:fill="auto"/>
          </w:tcPr>
          <w:p w14:paraId="1846B3A6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0,0433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6B022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3,4929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7FF778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6,1675</w:t>
            </w:r>
          </w:p>
        </w:tc>
      </w:tr>
      <w:tr w:rsidR="00A16A20" w:rsidRPr="006F6C11" w14:paraId="69EB9B6A" w14:textId="77777777" w:rsidTr="00951C39">
        <w:tc>
          <w:tcPr>
            <w:tcW w:w="1271" w:type="dxa"/>
          </w:tcPr>
          <w:p w14:paraId="36EAAB2B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6F6C11">
              <w:t>Br-RIVb</w:t>
            </w:r>
          </w:p>
        </w:tc>
        <w:tc>
          <w:tcPr>
            <w:tcW w:w="1276" w:type="dxa"/>
            <w:shd w:val="clear" w:color="auto" w:fill="auto"/>
          </w:tcPr>
          <w:p w14:paraId="63B55208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E18ECB3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0,2372</w:t>
            </w:r>
          </w:p>
        </w:tc>
        <w:tc>
          <w:tcPr>
            <w:tcW w:w="1139" w:type="dxa"/>
            <w:shd w:val="clear" w:color="auto" w:fill="auto"/>
          </w:tcPr>
          <w:p w14:paraId="5D3D692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0" w:type="dxa"/>
            <w:shd w:val="clear" w:color="auto" w:fill="auto"/>
          </w:tcPr>
          <w:p w14:paraId="17F85DCE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370BE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rPr>
                <w:color w:val="000000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78F8C0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0,2372</w:t>
            </w:r>
          </w:p>
        </w:tc>
      </w:tr>
      <w:tr w:rsidR="00A16A20" w:rsidRPr="006F6C11" w14:paraId="423E1E68" w14:textId="77777777" w:rsidTr="00951C39">
        <w:tc>
          <w:tcPr>
            <w:tcW w:w="1271" w:type="dxa"/>
          </w:tcPr>
          <w:p w14:paraId="0EB61E28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6F6C11">
              <w:t>RV</w:t>
            </w:r>
          </w:p>
        </w:tc>
        <w:tc>
          <w:tcPr>
            <w:tcW w:w="1276" w:type="dxa"/>
            <w:shd w:val="clear" w:color="auto" w:fill="auto"/>
          </w:tcPr>
          <w:p w14:paraId="7BAFA68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0,0700</w:t>
            </w:r>
          </w:p>
        </w:tc>
        <w:tc>
          <w:tcPr>
            <w:tcW w:w="1276" w:type="dxa"/>
            <w:shd w:val="clear" w:color="auto" w:fill="auto"/>
          </w:tcPr>
          <w:p w14:paraId="1C94FD50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0,6834</w:t>
            </w:r>
          </w:p>
        </w:tc>
        <w:tc>
          <w:tcPr>
            <w:tcW w:w="1139" w:type="dxa"/>
            <w:shd w:val="clear" w:color="auto" w:fill="auto"/>
          </w:tcPr>
          <w:p w14:paraId="1AC69F3C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0,0130</w:t>
            </w:r>
          </w:p>
        </w:tc>
        <w:tc>
          <w:tcPr>
            <w:tcW w:w="1270" w:type="dxa"/>
            <w:shd w:val="clear" w:color="auto" w:fill="auto"/>
          </w:tcPr>
          <w:p w14:paraId="50D78AF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0,1527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B6BE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9,7216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67DAB6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rPr>
                <w:color w:val="000000"/>
              </w:rPr>
              <w:t>10,6407</w:t>
            </w:r>
          </w:p>
        </w:tc>
      </w:tr>
      <w:tr w:rsidR="00A16A20" w:rsidRPr="006F6C11" w14:paraId="5F32C2CD" w14:textId="77777777" w:rsidTr="00951C39">
        <w:tc>
          <w:tcPr>
            <w:tcW w:w="1271" w:type="dxa"/>
          </w:tcPr>
          <w:p w14:paraId="64214EA6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6F6C11">
              <w:t>Br-PsV</w:t>
            </w:r>
          </w:p>
        </w:tc>
        <w:tc>
          <w:tcPr>
            <w:tcW w:w="1276" w:type="dxa"/>
            <w:shd w:val="clear" w:color="auto" w:fill="auto"/>
          </w:tcPr>
          <w:p w14:paraId="6CD33275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D43B1E1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0,0794</w:t>
            </w:r>
          </w:p>
        </w:tc>
        <w:tc>
          <w:tcPr>
            <w:tcW w:w="1139" w:type="dxa"/>
            <w:shd w:val="clear" w:color="auto" w:fill="auto"/>
          </w:tcPr>
          <w:p w14:paraId="290BFCD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0" w:type="dxa"/>
            <w:shd w:val="clear" w:color="auto" w:fill="auto"/>
          </w:tcPr>
          <w:p w14:paraId="4BEFF144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078EC6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rPr>
                <w:color w:val="000000"/>
              </w:rPr>
              <w:t> 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FD304C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0,0794</w:t>
            </w:r>
          </w:p>
        </w:tc>
      </w:tr>
      <w:tr w:rsidR="00A16A20" w:rsidRPr="006F6C11" w14:paraId="6F4A8D7F" w14:textId="77777777" w:rsidTr="00951C39">
        <w:tc>
          <w:tcPr>
            <w:tcW w:w="1271" w:type="dxa"/>
          </w:tcPr>
          <w:p w14:paraId="39682198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6F6C11">
              <w:t>PsV</w:t>
            </w:r>
          </w:p>
        </w:tc>
        <w:tc>
          <w:tcPr>
            <w:tcW w:w="1276" w:type="dxa"/>
            <w:shd w:val="clear" w:color="auto" w:fill="auto"/>
          </w:tcPr>
          <w:p w14:paraId="6ADD8601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F6AC0A2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0,6716</w:t>
            </w:r>
          </w:p>
        </w:tc>
        <w:tc>
          <w:tcPr>
            <w:tcW w:w="1139" w:type="dxa"/>
            <w:shd w:val="clear" w:color="auto" w:fill="auto"/>
          </w:tcPr>
          <w:p w14:paraId="4D6CF2D3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0,0038</w:t>
            </w:r>
          </w:p>
        </w:tc>
        <w:tc>
          <w:tcPr>
            <w:tcW w:w="1270" w:type="dxa"/>
            <w:shd w:val="clear" w:color="auto" w:fill="auto"/>
          </w:tcPr>
          <w:p w14:paraId="67AC58AC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D2BE63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1,632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DEB821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2,3173</w:t>
            </w:r>
          </w:p>
        </w:tc>
      </w:tr>
      <w:tr w:rsidR="00A16A20" w:rsidRPr="006F6C11" w14:paraId="2E137D47" w14:textId="77777777" w:rsidTr="00951C39">
        <w:tc>
          <w:tcPr>
            <w:tcW w:w="1271" w:type="dxa"/>
          </w:tcPr>
          <w:p w14:paraId="1A23343B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6F6C11">
              <w:t>Lzr-PsV</w:t>
            </w:r>
          </w:p>
        </w:tc>
        <w:tc>
          <w:tcPr>
            <w:tcW w:w="1276" w:type="dxa"/>
            <w:shd w:val="clear" w:color="auto" w:fill="auto"/>
          </w:tcPr>
          <w:p w14:paraId="53976EE9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386B250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139" w:type="dxa"/>
            <w:shd w:val="clear" w:color="auto" w:fill="auto"/>
          </w:tcPr>
          <w:p w14:paraId="1173A6D2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0,0141</w:t>
            </w:r>
          </w:p>
        </w:tc>
        <w:tc>
          <w:tcPr>
            <w:tcW w:w="1270" w:type="dxa"/>
            <w:shd w:val="clear" w:color="auto" w:fill="auto"/>
          </w:tcPr>
          <w:p w14:paraId="1CD36E3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3879C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0,0241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A5289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0,0382</w:t>
            </w:r>
          </w:p>
        </w:tc>
      </w:tr>
      <w:tr w:rsidR="00A16A20" w:rsidRPr="006F6C11" w14:paraId="6CE3E08A" w14:textId="77777777" w:rsidTr="00951C39">
        <w:tc>
          <w:tcPr>
            <w:tcW w:w="1271" w:type="dxa"/>
          </w:tcPr>
          <w:p w14:paraId="3CB9E4D6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6F6C11">
              <w:t>LzIV</w:t>
            </w:r>
          </w:p>
        </w:tc>
        <w:tc>
          <w:tcPr>
            <w:tcW w:w="1276" w:type="dxa"/>
            <w:shd w:val="clear" w:color="auto" w:fill="auto"/>
          </w:tcPr>
          <w:p w14:paraId="428CA9A1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544EB2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0,6549</w:t>
            </w:r>
          </w:p>
        </w:tc>
        <w:tc>
          <w:tcPr>
            <w:tcW w:w="1139" w:type="dxa"/>
            <w:shd w:val="clear" w:color="auto" w:fill="auto"/>
          </w:tcPr>
          <w:p w14:paraId="225BC7E6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0" w:type="dxa"/>
            <w:shd w:val="clear" w:color="auto" w:fill="auto"/>
          </w:tcPr>
          <w:p w14:paraId="3610961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55B2B3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5962A5D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rPr>
                <w:color w:val="000000"/>
              </w:rPr>
              <w:t>0,6549</w:t>
            </w:r>
          </w:p>
        </w:tc>
      </w:tr>
      <w:tr w:rsidR="00A16A20" w:rsidRPr="006F6C11" w14:paraId="48B7F15C" w14:textId="77777777" w:rsidTr="00951C39">
        <w:tc>
          <w:tcPr>
            <w:tcW w:w="1271" w:type="dxa"/>
          </w:tcPr>
          <w:p w14:paraId="7D29F528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6F6C11">
              <w:t>LzV</w:t>
            </w:r>
          </w:p>
        </w:tc>
        <w:tc>
          <w:tcPr>
            <w:tcW w:w="1276" w:type="dxa"/>
            <w:shd w:val="clear" w:color="auto" w:fill="auto"/>
          </w:tcPr>
          <w:p w14:paraId="4DAEF671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C313114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0,3006</w:t>
            </w:r>
          </w:p>
        </w:tc>
        <w:tc>
          <w:tcPr>
            <w:tcW w:w="1139" w:type="dxa"/>
            <w:shd w:val="clear" w:color="auto" w:fill="auto"/>
          </w:tcPr>
          <w:p w14:paraId="1634B8EA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0" w:type="dxa"/>
            <w:shd w:val="clear" w:color="auto" w:fill="auto"/>
          </w:tcPr>
          <w:p w14:paraId="7FA6AB04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7FBB9A1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F0D3505" w14:textId="77777777" w:rsidR="00A16A20" w:rsidRPr="00994E7B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0" w:after="0"/>
              <w:jc w:val="center"/>
            </w:pPr>
            <w:r w:rsidRPr="00994E7B">
              <w:t>0,3006</w:t>
            </w:r>
          </w:p>
        </w:tc>
      </w:tr>
      <w:tr w:rsidR="00A16A20" w:rsidRPr="006F6C11" w14:paraId="6462AE51" w14:textId="77777777" w:rsidTr="00951C39">
        <w:tc>
          <w:tcPr>
            <w:tcW w:w="1271" w:type="dxa"/>
          </w:tcPr>
          <w:p w14:paraId="53B32984" w14:textId="77777777" w:rsidR="00A16A20" w:rsidRPr="006F6C11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100"/>
              <w:jc w:val="center"/>
            </w:pPr>
          </w:p>
        </w:tc>
        <w:tc>
          <w:tcPr>
            <w:tcW w:w="7234" w:type="dxa"/>
            <w:gridSpan w:val="6"/>
            <w:shd w:val="clear" w:color="auto" w:fill="auto"/>
          </w:tcPr>
          <w:p w14:paraId="1B4C97A7" w14:textId="77777777" w:rsidR="00A16A20" w:rsidRPr="00E0630A" w:rsidRDefault="00A16A20" w:rsidP="00951C39">
            <w:pPr>
              <w:pStyle w:val="paragraf"/>
              <w:numPr>
                <w:ilvl w:val="0"/>
                <w:numId w:val="0"/>
              </w:numPr>
              <w:suppressAutoHyphens w:val="0"/>
              <w:spacing w:before="100"/>
              <w:jc w:val="center"/>
              <w:rPr>
                <w:highlight w:val="yellow"/>
              </w:rPr>
            </w:pPr>
            <w:r w:rsidRPr="00994E7B">
              <w:t xml:space="preserve">                                                                              Ogółem:    21,4352 ha</w:t>
            </w:r>
          </w:p>
        </w:tc>
      </w:tr>
    </w:tbl>
    <w:p w14:paraId="38C652A9" w14:textId="77777777" w:rsidR="00A4438B" w:rsidRDefault="00A4438B" w:rsidP="0083035A">
      <w:pPr>
        <w:pStyle w:val="rozdziaZnak"/>
        <w:numPr>
          <w:ilvl w:val="0"/>
          <w:numId w:val="0"/>
        </w:numPr>
        <w:jc w:val="left"/>
        <w:rPr>
          <w:rFonts w:eastAsia="Arial"/>
          <w:b w:val="0"/>
          <w:szCs w:val="20"/>
        </w:rPr>
      </w:pPr>
    </w:p>
    <w:p w14:paraId="2B5DF330" w14:textId="77777777" w:rsidR="00A16A20" w:rsidRDefault="00A16A20" w:rsidP="0083035A">
      <w:pPr>
        <w:pStyle w:val="rozdziaZnak"/>
        <w:numPr>
          <w:ilvl w:val="0"/>
          <w:numId w:val="0"/>
        </w:numPr>
        <w:jc w:val="left"/>
      </w:pPr>
    </w:p>
    <w:p w14:paraId="4E475174" w14:textId="77777777" w:rsidR="00A4438B" w:rsidRDefault="00A4438B" w:rsidP="00A4438B">
      <w:pPr>
        <w:pStyle w:val="rozdziaZnak"/>
        <w:numPr>
          <w:ilvl w:val="0"/>
          <w:numId w:val="0"/>
        </w:numPr>
        <w:ind w:left="720"/>
      </w:pPr>
      <w:r>
        <w:t>DZIAŁ III</w:t>
      </w:r>
    </w:p>
    <w:p w14:paraId="210CA0E4" w14:textId="77777777" w:rsidR="00A4438B" w:rsidRDefault="00A4438B" w:rsidP="00A4438B">
      <w:pPr>
        <w:pStyle w:val="rozdziaZnak"/>
        <w:numPr>
          <w:ilvl w:val="0"/>
          <w:numId w:val="0"/>
        </w:numPr>
        <w:ind w:left="720"/>
      </w:pPr>
      <w:r>
        <w:t>POSTANOWIENIA KOŃCOWE</w:t>
      </w:r>
    </w:p>
    <w:p w14:paraId="7C8504D2" w14:textId="77777777" w:rsidR="00A4438B" w:rsidRDefault="00A4438B" w:rsidP="00A4438B">
      <w:pPr>
        <w:pStyle w:val="paragraf"/>
        <w:ind w:left="0"/>
        <w:rPr>
          <w:szCs w:val="24"/>
        </w:rPr>
      </w:pPr>
      <w:r>
        <w:t xml:space="preserve">Wykonanie uchwały powierza się </w:t>
      </w:r>
      <w:r w:rsidR="00BF4DE9">
        <w:t>Wójtowi Gminy Sidra</w:t>
      </w:r>
      <w:r>
        <w:t>.</w:t>
      </w:r>
    </w:p>
    <w:p w14:paraId="1616DCC2" w14:textId="77777777" w:rsidR="00A4438B" w:rsidRDefault="00A4438B" w:rsidP="00A4438B">
      <w:pPr>
        <w:pStyle w:val="paragraf"/>
        <w:ind w:left="0"/>
      </w:pPr>
      <w:r>
        <w:t>Uchwała wchodzi w życie po upływie 14 dni od dnia ogłoszenia w Dzienniku Urzędowym Województwa Podlaskiego.</w:t>
      </w:r>
    </w:p>
    <w:p w14:paraId="061FCAAF" w14:textId="77777777" w:rsidR="00A4438B" w:rsidRDefault="00A4438B" w:rsidP="00A4438B">
      <w:pPr>
        <w:pStyle w:val="paragraf"/>
        <w:numPr>
          <w:ilvl w:val="0"/>
          <w:numId w:val="0"/>
        </w:numPr>
        <w:suppressAutoHyphens w:val="0"/>
        <w:ind w:left="142"/>
        <w:jc w:val="right"/>
      </w:pPr>
      <w:r>
        <w:t>Przewodniczący Rady Gminy</w:t>
      </w:r>
    </w:p>
    <w:p w14:paraId="0CAF44A3" w14:textId="77777777" w:rsidR="00A4438B" w:rsidRDefault="00A4438B" w:rsidP="00A4438B">
      <w:pPr>
        <w:pStyle w:val="paragraf"/>
        <w:numPr>
          <w:ilvl w:val="0"/>
          <w:numId w:val="0"/>
        </w:numPr>
        <w:suppressAutoHyphens w:val="0"/>
        <w:ind w:left="142"/>
        <w:jc w:val="right"/>
      </w:pPr>
    </w:p>
    <w:p w14:paraId="3AE8E95F" w14:textId="77777777" w:rsidR="00A4438B" w:rsidRPr="00710481" w:rsidRDefault="00A4438B" w:rsidP="00A4438B">
      <w:pPr>
        <w:pStyle w:val="paragraf"/>
        <w:numPr>
          <w:ilvl w:val="0"/>
          <w:numId w:val="0"/>
        </w:numPr>
        <w:suppressAutoHyphens w:val="0"/>
        <w:ind w:left="142"/>
        <w:jc w:val="right"/>
      </w:pPr>
    </w:p>
    <w:p w14:paraId="144DB848" w14:textId="77777777" w:rsidR="005E22CD" w:rsidRDefault="005E22CD"/>
    <w:sectPr w:rsidR="005E22CD" w:rsidSect="00464B23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452F" w14:textId="77777777" w:rsidR="00464B23" w:rsidRDefault="00464B23">
      <w:r>
        <w:separator/>
      </w:r>
    </w:p>
  </w:endnote>
  <w:endnote w:type="continuationSeparator" w:id="0">
    <w:p w14:paraId="2ED5695F" w14:textId="77777777" w:rsidR="00464B23" w:rsidRDefault="0046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26DE" w14:textId="77777777" w:rsidR="00000000" w:rsidRDefault="001143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D77AE">
      <w:rPr>
        <w:noProof/>
      </w:rPr>
      <w:t>2</w:t>
    </w:r>
    <w:r>
      <w:fldChar w:fldCharType="end"/>
    </w:r>
  </w:p>
  <w:p w14:paraId="6166F24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5832" w14:textId="77777777" w:rsidR="00464B23" w:rsidRDefault="00464B23">
      <w:r>
        <w:separator/>
      </w:r>
    </w:p>
  </w:footnote>
  <w:footnote w:type="continuationSeparator" w:id="0">
    <w:p w14:paraId="01492E60" w14:textId="77777777" w:rsidR="00464B23" w:rsidRDefault="0046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288"/>
      </w:pPr>
    </w:lvl>
    <w:lvl w:ilvl="1">
      <w:start w:val="1"/>
      <w:numFmt w:val="none"/>
      <w:suff w:val="nothing"/>
      <w:lvlText w:val="Załącznik"/>
      <w:lvlJc w:val="righ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right"/>
      <w:pPr>
        <w:tabs>
          <w:tab w:val="num" w:pos="0"/>
        </w:tabs>
        <w:ind w:left="5954" w:firstLine="0"/>
      </w:pPr>
    </w:lvl>
    <w:lvl w:ilvl="3">
      <w:start w:val="1"/>
      <w:numFmt w:val="decimal"/>
      <w:suff w:val="space"/>
      <w:lvlText w:val="§ .%4"/>
      <w:lvlJc w:val="left"/>
      <w:pPr>
        <w:tabs>
          <w:tab w:val="num" w:pos="0"/>
        </w:tabs>
        <w:ind w:left="454" w:firstLine="397"/>
      </w:pPr>
    </w:lvl>
    <w:lvl w:ilvl="4">
      <w:start w:val="2"/>
      <w:numFmt w:val="decimal"/>
      <w:suff w:val="space"/>
      <w:lvlText w:val=".%5"/>
      <w:lvlJc w:val="left"/>
      <w:pPr>
        <w:tabs>
          <w:tab w:val="num" w:pos="0"/>
        </w:tabs>
        <w:ind w:left="0" w:firstLine="624"/>
      </w:pPr>
      <w:rPr>
        <w:b w:val="0"/>
        <w:i w:val="0"/>
      </w:rPr>
    </w:lvl>
    <w:lvl w:ilvl="5">
      <w:start w:val="1"/>
      <w:numFmt w:val="decimal"/>
      <w:lvlText w:val=")%6"/>
      <w:lvlJc w:val="left"/>
      <w:pPr>
        <w:tabs>
          <w:tab w:val="num" w:pos="1070"/>
        </w:tabs>
        <w:ind w:left="1070" w:hanging="360"/>
      </w:pPr>
    </w:lvl>
    <w:lvl w:ilvl="6">
      <w:start w:val="1"/>
      <w:numFmt w:val="lowerLetter"/>
      <w:suff w:val="space"/>
      <w:lvlText w:val=")%7"/>
      <w:lvlJc w:val="left"/>
      <w:pPr>
        <w:tabs>
          <w:tab w:val="num" w:pos="0"/>
        </w:tabs>
        <w:ind w:left="1361" w:hanging="226"/>
      </w:pPr>
    </w:lvl>
    <w:lvl w:ilvl="7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Leelawadee" w:hAnsi="Leelawadee" w:cs="Leelawadee"/>
        <w:color w:val="auto"/>
        <w:sz w:val="24"/>
      </w:rPr>
    </w:lvl>
    <w:lvl w:ilvl="8">
      <w:start w:val="1"/>
      <w:numFmt w:val="none"/>
      <w:suff w:val="nothing"/>
      <w:lvlText w:val="2."/>
      <w:lvlJc w:val="left"/>
      <w:pPr>
        <w:tabs>
          <w:tab w:val="num" w:pos="0"/>
        </w:tabs>
        <w:ind w:left="0" w:firstLine="624"/>
      </w:pPr>
    </w:lvl>
  </w:abstractNum>
  <w:abstractNum w:abstractNumId="1" w15:restartNumberingAfterBreak="0">
    <w:nsid w:val="00000009"/>
    <w:multiLevelType w:val="multilevel"/>
    <w:tmpl w:val="00000009"/>
    <w:name w:val="WW8Num12"/>
    <w:lvl w:ilvl="0">
      <w:start w:val="1"/>
      <w:numFmt w:val="none"/>
      <w:pStyle w:val="rozdziaZnak"/>
      <w:suff w:val="nothing"/>
      <w:lvlText w:val=""/>
      <w:lvlJc w:val="left"/>
      <w:pPr>
        <w:tabs>
          <w:tab w:val="num" w:pos="0"/>
        </w:tabs>
        <w:ind w:left="0" w:firstLine="595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E"/>
    <w:multiLevelType w:val="multilevel"/>
    <w:tmpl w:val="0000000E"/>
    <w:name w:val="WW8Num17"/>
    <w:lvl w:ilvl="0">
      <w:start w:val="1"/>
      <w:numFmt w:val="none"/>
      <w:pStyle w:val="wsprawi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5"/>
    <w:multiLevelType w:val="multilevel"/>
    <w:tmpl w:val="7E867164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29" w:firstLine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"/>
      <w:pStyle w:val="ust"/>
      <w:suff w:val="space"/>
      <w:lvlText w:val="%1%5."/>
      <w:lvlJc w:val="left"/>
      <w:pPr>
        <w:ind w:left="2779" w:firstLine="624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  <w:lang w:val="pl-PL" w:bidi="ar-SA"/>
      </w:rPr>
    </w:lvl>
    <w:lvl w:ilvl="6">
      <w:start w:val="1"/>
      <w:numFmt w:val="lowerLetter"/>
      <w:pStyle w:val="lit"/>
      <w:suff w:val="space"/>
      <w:lvlText w:val="%7)"/>
      <w:lvlJc w:val="left"/>
      <w:pPr>
        <w:ind w:left="935" w:hanging="226"/>
      </w:pPr>
      <w:rPr>
        <w:rFonts w:hint="default"/>
      </w:rPr>
    </w:lvl>
    <w:lvl w:ilvl="7">
      <w:start w:val="1"/>
      <w:numFmt w:val="bullet"/>
      <w:pStyle w:val="tiretZnak"/>
      <w:suff w:val="space"/>
      <w:lvlText w:val="-"/>
      <w:lvlJc w:val="left"/>
      <w:pPr>
        <w:ind w:left="851" w:hanging="171"/>
      </w:pPr>
      <w:rPr>
        <w:rFonts w:ascii="Times New Roman" w:hAnsi="Times New Roman" w:cs="Leelawadee" w:hint="default"/>
        <w:color w:val="auto"/>
        <w:sz w:val="24"/>
      </w:rPr>
    </w:lvl>
    <w:lvl w:ilvl="8">
      <w:start w:val="1"/>
      <w:numFmt w:val="none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4" w15:restartNumberingAfterBreak="0">
    <w:nsid w:val="164749C7"/>
    <w:multiLevelType w:val="hybridMultilevel"/>
    <w:tmpl w:val="5866C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6F185C"/>
    <w:multiLevelType w:val="hybridMultilevel"/>
    <w:tmpl w:val="2AFAFF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E0C"/>
    <w:multiLevelType w:val="hybridMultilevel"/>
    <w:tmpl w:val="CB04E45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A4DF2"/>
    <w:multiLevelType w:val="hybridMultilevel"/>
    <w:tmpl w:val="CB04E45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147AE"/>
    <w:multiLevelType w:val="hybridMultilevel"/>
    <w:tmpl w:val="48FE96DA"/>
    <w:lvl w:ilvl="0" w:tplc="FFFFFFFF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F74BE5"/>
    <w:multiLevelType w:val="hybridMultilevel"/>
    <w:tmpl w:val="DFB4939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A2016"/>
    <w:multiLevelType w:val="hybridMultilevel"/>
    <w:tmpl w:val="406E3F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D181E"/>
    <w:multiLevelType w:val="hybridMultilevel"/>
    <w:tmpl w:val="C5A287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0D5330"/>
    <w:multiLevelType w:val="hybridMultilevel"/>
    <w:tmpl w:val="08B69E58"/>
    <w:name w:val="WW8Num2422"/>
    <w:lvl w:ilvl="0" w:tplc="04150011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A29D9"/>
    <w:multiLevelType w:val="hybridMultilevel"/>
    <w:tmpl w:val="3AB6E850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B7411"/>
    <w:multiLevelType w:val="hybridMultilevel"/>
    <w:tmpl w:val="19FEAF52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7DB6343"/>
    <w:multiLevelType w:val="hybridMultilevel"/>
    <w:tmpl w:val="C5D054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033214">
    <w:abstractNumId w:val="0"/>
  </w:num>
  <w:num w:numId="2" w16cid:durableId="489563669">
    <w:abstractNumId w:val="1"/>
  </w:num>
  <w:num w:numId="3" w16cid:durableId="1362976037">
    <w:abstractNumId w:val="2"/>
  </w:num>
  <w:num w:numId="4" w16cid:durableId="1680306380">
    <w:abstractNumId w:val="3"/>
  </w:num>
  <w:num w:numId="5" w16cid:durableId="1367680573">
    <w:abstractNumId w:val="10"/>
  </w:num>
  <w:num w:numId="6" w16cid:durableId="369184952">
    <w:abstractNumId w:val="12"/>
  </w:num>
  <w:num w:numId="7" w16cid:durableId="1647125745">
    <w:abstractNumId w:val="5"/>
  </w:num>
  <w:num w:numId="8" w16cid:durableId="1217862648">
    <w:abstractNumId w:val="13"/>
  </w:num>
  <w:num w:numId="9" w16cid:durableId="360710436">
    <w:abstractNumId w:val="8"/>
  </w:num>
  <w:num w:numId="10" w16cid:durableId="1139879580">
    <w:abstractNumId w:val="6"/>
  </w:num>
  <w:num w:numId="11" w16cid:durableId="10029672">
    <w:abstractNumId w:val="9"/>
  </w:num>
  <w:num w:numId="12" w16cid:durableId="2056807483">
    <w:abstractNumId w:val="15"/>
  </w:num>
  <w:num w:numId="13" w16cid:durableId="1501771563">
    <w:abstractNumId w:val="11"/>
  </w:num>
  <w:num w:numId="14" w16cid:durableId="160701685">
    <w:abstractNumId w:val="4"/>
  </w:num>
  <w:num w:numId="15" w16cid:durableId="1682775065">
    <w:abstractNumId w:val="14"/>
  </w:num>
  <w:num w:numId="16" w16cid:durableId="254674763">
    <w:abstractNumId w:val="3"/>
  </w:num>
  <w:num w:numId="17" w16cid:durableId="1812937545">
    <w:abstractNumId w:val="3"/>
  </w:num>
  <w:num w:numId="18" w16cid:durableId="961806791">
    <w:abstractNumId w:val="3"/>
  </w:num>
  <w:num w:numId="19" w16cid:durableId="597718989">
    <w:abstractNumId w:val="3"/>
  </w:num>
  <w:num w:numId="20" w16cid:durableId="593559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8B"/>
    <w:rsid w:val="00013D07"/>
    <w:rsid w:val="000533C4"/>
    <w:rsid w:val="00086E2C"/>
    <w:rsid w:val="000A64BA"/>
    <w:rsid w:val="000B5253"/>
    <w:rsid w:val="000F5A42"/>
    <w:rsid w:val="00114339"/>
    <w:rsid w:val="001770A6"/>
    <w:rsid w:val="00195FBE"/>
    <w:rsid w:val="001D7505"/>
    <w:rsid w:val="001F6450"/>
    <w:rsid w:val="00235240"/>
    <w:rsid w:val="002370FE"/>
    <w:rsid w:val="002561E2"/>
    <w:rsid w:val="00263A56"/>
    <w:rsid w:val="002C4CCA"/>
    <w:rsid w:val="002C793F"/>
    <w:rsid w:val="002E7729"/>
    <w:rsid w:val="002F38C4"/>
    <w:rsid w:val="00311643"/>
    <w:rsid w:val="0035518C"/>
    <w:rsid w:val="003B5156"/>
    <w:rsid w:val="003D539B"/>
    <w:rsid w:val="004041D8"/>
    <w:rsid w:val="00413399"/>
    <w:rsid w:val="00464B23"/>
    <w:rsid w:val="004747BA"/>
    <w:rsid w:val="0048001C"/>
    <w:rsid w:val="00554DCB"/>
    <w:rsid w:val="00566276"/>
    <w:rsid w:val="005A62DC"/>
    <w:rsid w:val="005E22CD"/>
    <w:rsid w:val="005E33A5"/>
    <w:rsid w:val="005F40B8"/>
    <w:rsid w:val="0062646C"/>
    <w:rsid w:val="00661B82"/>
    <w:rsid w:val="0069189D"/>
    <w:rsid w:val="006A0197"/>
    <w:rsid w:val="006B2AD7"/>
    <w:rsid w:val="006C6752"/>
    <w:rsid w:val="006D1864"/>
    <w:rsid w:val="006E48DD"/>
    <w:rsid w:val="006E4B32"/>
    <w:rsid w:val="006F5C32"/>
    <w:rsid w:val="006F6C11"/>
    <w:rsid w:val="00710E65"/>
    <w:rsid w:val="007220D6"/>
    <w:rsid w:val="00725855"/>
    <w:rsid w:val="00741946"/>
    <w:rsid w:val="00757008"/>
    <w:rsid w:val="007B5F8A"/>
    <w:rsid w:val="0082022C"/>
    <w:rsid w:val="0083035A"/>
    <w:rsid w:val="008C6BBE"/>
    <w:rsid w:val="00952F80"/>
    <w:rsid w:val="009E6B2E"/>
    <w:rsid w:val="009F21F3"/>
    <w:rsid w:val="009F260D"/>
    <w:rsid w:val="00A065CC"/>
    <w:rsid w:val="00A16A20"/>
    <w:rsid w:val="00A4438B"/>
    <w:rsid w:val="00A539BB"/>
    <w:rsid w:val="00AA2AB9"/>
    <w:rsid w:val="00AA7F8A"/>
    <w:rsid w:val="00AB30ED"/>
    <w:rsid w:val="00AC2FC4"/>
    <w:rsid w:val="00AC3B92"/>
    <w:rsid w:val="00AE4273"/>
    <w:rsid w:val="00B03743"/>
    <w:rsid w:val="00B630DB"/>
    <w:rsid w:val="00B739DA"/>
    <w:rsid w:val="00B84772"/>
    <w:rsid w:val="00BD77AE"/>
    <w:rsid w:val="00BE7876"/>
    <w:rsid w:val="00BF4DE9"/>
    <w:rsid w:val="00C11521"/>
    <w:rsid w:val="00C13B19"/>
    <w:rsid w:val="00C461FD"/>
    <w:rsid w:val="00C4786E"/>
    <w:rsid w:val="00C743B3"/>
    <w:rsid w:val="00CD2453"/>
    <w:rsid w:val="00D067A0"/>
    <w:rsid w:val="00D961C0"/>
    <w:rsid w:val="00DE2AC1"/>
    <w:rsid w:val="00DE7E83"/>
    <w:rsid w:val="00E0630A"/>
    <w:rsid w:val="00E073CF"/>
    <w:rsid w:val="00E30AB2"/>
    <w:rsid w:val="00E322B2"/>
    <w:rsid w:val="00E82466"/>
    <w:rsid w:val="00E847B8"/>
    <w:rsid w:val="00EA4EDB"/>
    <w:rsid w:val="00EE4D37"/>
    <w:rsid w:val="00F051DA"/>
    <w:rsid w:val="00F33288"/>
    <w:rsid w:val="00F90BBA"/>
    <w:rsid w:val="00FB4FF8"/>
    <w:rsid w:val="00FD42D3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732A"/>
  <w15:chartTrackingRefBased/>
  <w15:docId w15:val="{783C781E-9825-474B-AD2B-8CF1991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A4438B"/>
    <w:pPr>
      <w:numPr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A4438B"/>
    <w:pPr>
      <w:numPr>
        <w:numId w:val="4"/>
      </w:numPr>
      <w:suppressAutoHyphens/>
      <w:spacing w:after="120" w:line="240" w:lineRule="auto"/>
      <w:jc w:val="center"/>
    </w:pPr>
    <w:rPr>
      <w:rFonts w:ascii="Times New Roman" w:eastAsia="Arial" w:hAnsi="Times New Roman" w:cs="Times New Roman"/>
      <w:b/>
      <w:caps/>
      <w:sz w:val="24"/>
      <w:szCs w:val="20"/>
      <w:lang w:eastAsia="zh-CN"/>
    </w:rPr>
  </w:style>
  <w:style w:type="paragraph" w:customStyle="1" w:styleId="podstawaZnak">
    <w:name w:val="podstawa Znak"/>
    <w:rsid w:val="00A4438B"/>
    <w:pPr>
      <w:tabs>
        <w:tab w:val="num" w:pos="0"/>
      </w:tabs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ustZnak">
    <w:name w:val="ust. Znak"/>
    <w:rsid w:val="00A4438B"/>
    <w:pPr>
      <w:widowControl w:val="0"/>
      <w:suppressAutoHyphens/>
      <w:spacing w:line="240" w:lineRule="auto"/>
      <w:ind w:firstLine="284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iretZnak">
    <w:name w:val="tiret Znak"/>
    <w:rsid w:val="00A4438B"/>
    <w:pPr>
      <w:numPr>
        <w:ilvl w:val="7"/>
        <w:numId w:val="4"/>
      </w:numPr>
      <w:suppressAutoHyphens/>
      <w:spacing w:after="8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A44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3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">
    <w:name w:val="zał"/>
    <w:basedOn w:val="Nagwek1"/>
    <w:rsid w:val="00A4438B"/>
    <w:pPr>
      <w:keepLines w:val="0"/>
      <w:numPr>
        <w:ilvl w:val="1"/>
        <w:numId w:val="4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rsid w:val="00A4438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rozdziaZnak">
    <w:name w:val="rozdział Znak"/>
    <w:basedOn w:val="Normalny"/>
    <w:rsid w:val="00A4438B"/>
    <w:pPr>
      <w:numPr>
        <w:numId w:val="2"/>
      </w:numPr>
      <w:spacing w:after="120"/>
      <w:jc w:val="center"/>
    </w:pPr>
    <w:rPr>
      <w:b/>
      <w:sz w:val="24"/>
      <w:szCs w:val="24"/>
    </w:rPr>
  </w:style>
  <w:style w:type="paragraph" w:customStyle="1" w:styleId="2ustZnak">
    <w:name w:val="2_ust Znak"/>
    <w:basedOn w:val="Normalny"/>
    <w:rsid w:val="00A4438B"/>
    <w:pPr>
      <w:spacing w:after="160"/>
      <w:ind w:firstLine="624"/>
      <w:jc w:val="both"/>
    </w:pPr>
    <w:rPr>
      <w:sz w:val="24"/>
    </w:rPr>
  </w:style>
  <w:style w:type="paragraph" w:customStyle="1" w:styleId="AKT">
    <w:name w:val="AKT"/>
    <w:basedOn w:val="Normalny"/>
    <w:rsid w:val="00A4438B"/>
    <w:pPr>
      <w:tabs>
        <w:tab w:val="left" w:pos="1418"/>
        <w:tab w:val="left" w:pos="1560"/>
      </w:tabs>
      <w:spacing w:after="120"/>
      <w:ind w:left="360"/>
      <w:jc w:val="center"/>
    </w:pPr>
    <w:rPr>
      <w:b/>
      <w:sz w:val="24"/>
    </w:rPr>
  </w:style>
  <w:style w:type="paragraph" w:customStyle="1" w:styleId="ust">
    <w:name w:val="ust."/>
    <w:rsid w:val="00A4438B"/>
    <w:pPr>
      <w:widowControl w:val="0"/>
      <w:numPr>
        <w:ilvl w:val="4"/>
        <w:numId w:val="4"/>
      </w:numPr>
      <w:suppressAutoHyphens/>
      <w:spacing w:line="240" w:lineRule="auto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2ust">
    <w:name w:val="2_ust"/>
    <w:basedOn w:val="Normalny"/>
    <w:rsid w:val="00A4438B"/>
    <w:pPr>
      <w:spacing w:after="160"/>
      <w:ind w:firstLine="426"/>
      <w:jc w:val="both"/>
    </w:pPr>
    <w:rPr>
      <w:sz w:val="24"/>
    </w:rPr>
  </w:style>
  <w:style w:type="paragraph" w:customStyle="1" w:styleId="pkt">
    <w:name w:val="pkt"/>
    <w:rsid w:val="00A4438B"/>
    <w:pPr>
      <w:numPr>
        <w:ilvl w:val="5"/>
        <w:numId w:val="4"/>
      </w:numPr>
      <w:tabs>
        <w:tab w:val="left" w:pos="4678"/>
      </w:tabs>
      <w:suppressAutoHyphens/>
      <w:spacing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lit">
    <w:name w:val="lit"/>
    <w:rsid w:val="00A4438B"/>
    <w:pPr>
      <w:numPr>
        <w:ilvl w:val="6"/>
        <w:numId w:val="4"/>
      </w:numPr>
      <w:suppressAutoHyphens/>
      <w:spacing w:after="12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podstawaZnak"/>
    <w:rsid w:val="00A4438B"/>
    <w:pPr>
      <w:numPr>
        <w:ilvl w:val="3"/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43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C7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4E6F-CEEB-4413-9AB2-87FB56C4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8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Piotr W</cp:lastModifiedBy>
  <cp:revision>76</cp:revision>
  <cp:lastPrinted>2023-09-04T08:52:00Z</cp:lastPrinted>
  <dcterms:created xsi:type="dcterms:W3CDTF">2023-06-27T09:31:00Z</dcterms:created>
  <dcterms:modified xsi:type="dcterms:W3CDTF">2024-03-25T13:13:00Z</dcterms:modified>
</cp:coreProperties>
</file>